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3AC" w:rsidP="00583E51" w:rsidRDefault="00C85424" w14:paraId="03F6115A" w14:textId="6DF78EF5">
      <w:pPr>
        <w:pStyle w:val="Heading1"/>
        <w:spacing w:before="0" w:after="240"/>
      </w:pPr>
      <w:r>
        <w:t>T</w:t>
      </w:r>
      <w:r w:rsidR="005913AC">
        <w:t xml:space="preserve">erms of </w:t>
      </w:r>
      <w:r>
        <w:t>R</w:t>
      </w:r>
      <w:r w:rsidR="005913AC">
        <w:t>eference</w:t>
      </w:r>
    </w:p>
    <w:p w:rsidR="0069572B" w:rsidP="00F54A4D" w:rsidRDefault="00642DE3" w14:paraId="7AE67BE6" w14:textId="6E9E349F">
      <w:r>
        <w:t xml:space="preserve">In </w:t>
      </w:r>
      <w:r w:rsidRPr="0051688A">
        <w:t>collaboration with the</w:t>
      </w:r>
      <w:r w:rsidRPr="0051688A" w:rsidR="00190E0B">
        <w:t xml:space="preserve"> EPSRC</w:t>
      </w:r>
      <w:r w:rsidRPr="0051688A">
        <w:t xml:space="preserve"> Future Composite Manufacturing </w:t>
      </w:r>
      <w:r w:rsidRPr="0051688A" w:rsidR="002D4BB7">
        <w:t>Research</w:t>
      </w:r>
      <w:r w:rsidRPr="0051688A" w:rsidR="00190E0B">
        <w:t xml:space="preserve"> </w:t>
      </w:r>
      <w:r w:rsidRPr="0051688A">
        <w:t>Hub</w:t>
      </w:r>
      <w:r w:rsidR="00502858">
        <w:t xml:space="preserve"> (FCMRH)</w:t>
      </w:r>
      <w:r w:rsidRPr="0051688A" w:rsidR="00190E0B">
        <w:t>,</w:t>
      </w:r>
      <w:r w:rsidRPr="0051688A">
        <w:t xml:space="preserve"> t</w:t>
      </w:r>
      <w:r w:rsidRPr="0051688A" w:rsidR="002C6F95">
        <w:t>he</w:t>
      </w:r>
      <w:r w:rsidRPr="0051688A" w:rsidR="00190E0B">
        <w:t xml:space="preserve"> National Composites Centre</w:t>
      </w:r>
      <w:r w:rsidRPr="0051688A" w:rsidR="002C6F95">
        <w:t xml:space="preserve"> </w:t>
      </w:r>
      <w:r w:rsidRPr="0051688A" w:rsidR="00190E0B">
        <w:t>(</w:t>
      </w:r>
      <w:r w:rsidRPr="0051688A" w:rsidR="002C6F95">
        <w:t>NCC</w:t>
      </w:r>
      <w:r w:rsidRPr="0051688A" w:rsidR="00190E0B">
        <w:t>)</w:t>
      </w:r>
      <w:r w:rsidRPr="0051688A" w:rsidR="002C6F95">
        <w:t xml:space="preserve"> </w:t>
      </w:r>
      <w:r w:rsidRPr="0051688A">
        <w:t>launch</w:t>
      </w:r>
      <w:r w:rsidR="005D7A6C">
        <w:t xml:space="preserve">ed </w:t>
      </w:r>
      <w:r w:rsidRPr="0051688A">
        <w:t>its</w:t>
      </w:r>
      <w:r w:rsidRPr="0051688A" w:rsidR="002C6F95">
        <w:t xml:space="preserve"> Technology Pull-Through </w:t>
      </w:r>
      <w:r w:rsidRPr="0051688A" w:rsidR="00190E0B">
        <w:t xml:space="preserve">(TPT) </w:t>
      </w:r>
      <w:r w:rsidRPr="0051688A" w:rsidR="002C6F95">
        <w:t>Programme</w:t>
      </w:r>
      <w:r w:rsidR="00C85424">
        <w:t xml:space="preserve"> in 2017</w:t>
      </w:r>
      <w:r w:rsidRPr="0051688A" w:rsidR="00F54A4D">
        <w:t xml:space="preserve">. </w:t>
      </w:r>
      <w:r w:rsidR="0069572B">
        <w:t>Now i</w:t>
      </w:r>
      <w:r w:rsidR="00C85424">
        <w:t xml:space="preserve">n its </w:t>
      </w:r>
      <w:r w:rsidR="00DF27B0">
        <w:t>seventh</w:t>
      </w:r>
      <w:r w:rsidR="002969DA">
        <w:t xml:space="preserve"> </w:t>
      </w:r>
      <w:r w:rsidR="00C85424">
        <w:t>iteration, t</w:t>
      </w:r>
      <w:r w:rsidRPr="0051688A">
        <w:t xml:space="preserve">he programme </w:t>
      </w:r>
      <w:r w:rsidR="005D7A6C">
        <w:t>is</w:t>
      </w:r>
      <w:r w:rsidRPr="0051688A">
        <w:t xml:space="preserve"> fully funded by the NCC’s Catapult budget </w:t>
      </w:r>
      <w:r w:rsidRPr="0051688A" w:rsidR="00190E0B">
        <w:t>20</w:t>
      </w:r>
      <w:r w:rsidR="001C73EF">
        <w:t>2</w:t>
      </w:r>
      <w:r w:rsidR="00DF27B0">
        <w:t>4</w:t>
      </w:r>
      <w:r w:rsidR="00020331">
        <w:t>-20</w:t>
      </w:r>
      <w:r w:rsidR="001C73EF">
        <w:t>2</w:t>
      </w:r>
      <w:r w:rsidR="00DF27B0">
        <w:t>5</w:t>
      </w:r>
      <w:r w:rsidR="0069572B">
        <w:t>.</w:t>
      </w:r>
    </w:p>
    <w:p w:rsidR="0069572B" w:rsidP="0069572B" w:rsidRDefault="0069572B" w14:paraId="72AF9F77" w14:textId="207069CC">
      <w:pPr>
        <w:pStyle w:val="Heading2"/>
      </w:pPr>
      <w:r>
        <w:t>Purpose of the programme</w:t>
      </w:r>
    </w:p>
    <w:p w:rsidR="0069572B" w:rsidP="00B27ED1" w:rsidRDefault="0069572B" w14:paraId="692DF39F" w14:textId="4C71DCA7">
      <w:pPr>
        <w:pBdr>
          <w:top w:val="single" w:color="auto" w:sz="4" w:space="1"/>
          <w:left w:val="single" w:color="auto" w:sz="4" w:space="4"/>
          <w:bottom w:val="single" w:color="auto" w:sz="4" w:space="1"/>
          <w:right w:val="single" w:color="auto" w:sz="4" w:space="4"/>
        </w:pBdr>
        <w:shd w:val="clear" w:color="auto" w:fill="F2F2F2" w:themeFill="background1" w:themeFillShade="F2"/>
      </w:pPr>
      <w:r>
        <w:t xml:space="preserve">The purpose of the TPT programme is to </w:t>
      </w:r>
      <w:r w:rsidRPr="0069572B">
        <w:rPr>
          <w:b/>
          <w:bCs/>
        </w:rPr>
        <w:t>transfer technologies</w:t>
      </w:r>
      <w:r>
        <w:t xml:space="preserve"> developed within the UK academic environment</w:t>
      </w:r>
      <w:r w:rsidRPr="001D6091">
        <w:t xml:space="preserve"> </w:t>
      </w:r>
      <w:r>
        <w:t xml:space="preserve">with high potential for industrial application into the NCC semi-industrial setting. The objective is to scale-up such technologies to </w:t>
      </w:r>
      <w:r w:rsidR="00B27ED1">
        <w:t>make them viable for industrial uptake</w:t>
      </w:r>
      <w:r>
        <w:t xml:space="preserve">, </w:t>
      </w:r>
      <w:r w:rsidR="00B27ED1">
        <w:t xml:space="preserve">thereby providing the NCC industrial cohort with the competitive advantage of exploiting </w:t>
      </w:r>
      <w:r w:rsidR="00CA3077">
        <w:t>cutting-edge</w:t>
      </w:r>
      <w:r w:rsidR="00B27ED1">
        <w:t xml:space="preserve"> technologies. The programme benefits the aca</w:t>
      </w:r>
      <w:r>
        <w:t xml:space="preserve">demic partner </w:t>
      </w:r>
      <w:r w:rsidR="00B27ED1">
        <w:t xml:space="preserve">by providing </w:t>
      </w:r>
      <w:r w:rsidR="000A0BD1">
        <w:t xml:space="preserve">them with </w:t>
      </w:r>
      <w:r w:rsidR="00B27ED1">
        <w:t xml:space="preserve">a clear case study that demonstrates </w:t>
      </w:r>
      <w:r>
        <w:t xml:space="preserve">the </w:t>
      </w:r>
      <w:r w:rsidRPr="00B27ED1">
        <w:rPr>
          <w:b/>
          <w:bCs/>
        </w:rPr>
        <w:t>impact</w:t>
      </w:r>
      <w:r w:rsidR="00B27ED1">
        <w:rPr>
          <w:b/>
          <w:bCs/>
        </w:rPr>
        <w:t xml:space="preserve"> </w:t>
      </w:r>
      <w:r>
        <w:t>of their technology</w:t>
      </w:r>
      <w:r w:rsidR="00B27ED1">
        <w:t xml:space="preserve"> in an industrial and commercial context</w:t>
      </w:r>
      <w:r>
        <w:t>.</w:t>
      </w:r>
    </w:p>
    <w:p w:rsidR="0069572B" w:rsidP="0069572B" w:rsidRDefault="0069572B" w14:paraId="3426695A" w14:textId="472AC371">
      <w:pPr>
        <w:pStyle w:val="Heading2"/>
      </w:pPr>
      <w:r>
        <w:t>Proposal requirements</w:t>
      </w:r>
    </w:p>
    <w:p w:rsidR="0069572B" w:rsidP="0069572B" w:rsidRDefault="00CA3077" w14:paraId="40A468BA" w14:textId="3CCB1D0B">
      <w:r>
        <w:t>P</w:t>
      </w:r>
      <w:r w:rsidR="0069572B">
        <w:t xml:space="preserve">riority will be given to those technologies which </w:t>
      </w:r>
      <w:r w:rsidR="00B27ED1">
        <w:t>can substantiate claims of having reached T</w:t>
      </w:r>
      <w:r w:rsidR="0069572B">
        <w:t>RL</w:t>
      </w:r>
      <w:r w:rsidR="0042117B">
        <w:t xml:space="preserve"> </w:t>
      </w:r>
      <w:r w:rsidR="0069572B">
        <w:t>3 or above</w:t>
      </w:r>
      <w:r w:rsidR="0069572B">
        <w:rPr>
          <w:rStyle w:val="FootnoteReference"/>
        </w:rPr>
        <w:footnoteReference w:id="1"/>
      </w:r>
      <w:r w:rsidR="0069572B">
        <w:t>, and</w:t>
      </w:r>
      <w:r w:rsidR="00502858">
        <w:t xml:space="preserve"> have proved to be</w:t>
      </w:r>
      <w:r w:rsidR="0069572B">
        <w:t xml:space="preserve"> </w:t>
      </w:r>
      <w:r w:rsidR="00B27ED1">
        <w:t>mature</w:t>
      </w:r>
      <w:r w:rsidR="0069572B">
        <w:t xml:space="preserve"> for upscaling out of the university environment.</w:t>
      </w:r>
    </w:p>
    <w:p w:rsidR="0069572B" w:rsidP="0069572B" w:rsidRDefault="00CA3077" w14:paraId="7E5288E6" w14:textId="1EA46EC2">
      <w:r>
        <w:t xml:space="preserve">The programme funds 12-month research projects, however, </w:t>
      </w:r>
      <w:r w:rsidR="0069572B">
        <w:t xml:space="preserve">the </w:t>
      </w:r>
      <w:r w:rsidRPr="0051688A" w:rsidR="00B27ED1">
        <w:rPr>
          <w:bCs/>
        </w:rPr>
        <w:t>Academic Principal Investigators (APIs)</w:t>
      </w:r>
      <w:r w:rsidR="0069572B">
        <w:t xml:space="preserve"> should outline in their proposals the plan to develop the technology </w:t>
      </w:r>
      <w:r w:rsidR="0056093D">
        <w:t>up to full industrial uptake (if necessary,</w:t>
      </w:r>
      <w:r>
        <w:t xml:space="preserve"> beyond the 12 month</w:t>
      </w:r>
      <w:r w:rsidR="0056093D">
        <w:t>s</w:t>
      </w:r>
      <w:r>
        <w:t xml:space="preserve"> </w:t>
      </w:r>
      <w:r w:rsidR="0056093D">
        <w:t xml:space="preserve">duration of the </w:t>
      </w:r>
      <w:r>
        <w:t>project</w:t>
      </w:r>
      <w:r w:rsidR="0056093D">
        <w:t>)</w:t>
      </w:r>
      <w:r>
        <w:t xml:space="preserve">. Priority will be given to those </w:t>
      </w:r>
      <w:r w:rsidR="0056093D">
        <w:t>proposals where a clear format and route to c</w:t>
      </w:r>
      <w:r w:rsidR="0069572B">
        <w:t>ommercial</w:t>
      </w:r>
      <w:r>
        <w:t>isation</w:t>
      </w:r>
      <w:r w:rsidR="0056093D">
        <w:t xml:space="preserve"> have been </w:t>
      </w:r>
      <w:r w:rsidR="00867971">
        <w:t>identified</w:t>
      </w:r>
      <w:r w:rsidR="0069572B">
        <w:t>.</w:t>
      </w:r>
    </w:p>
    <w:p w:rsidR="004F6880" w:rsidP="006461BD" w:rsidRDefault="004F6880" w14:paraId="4BE4C3FF" w14:textId="223FE754">
      <w:pPr>
        <w:pStyle w:val="Heading2"/>
      </w:pPr>
      <w:r>
        <w:t>Assessment criteria</w:t>
      </w:r>
    </w:p>
    <w:p w:rsidRPr="00D82078" w:rsidR="004F6880" w:rsidP="004F6880" w:rsidRDefault="004F6880" w14:paraId="089A4541" w14:textId="0BC2A44C">
      <w:r w:rsidRPr="00D82078">
        <w:t>Submissions to the TPT programme will be assessed according to the following criteria:</w:t>
      </w:r>
    </w:p>
    <w:p w:rsidRPr="00D82078" w:rsidR="00C979E5" w:rsidP="00C979E5" w:rsidRDefault="00C979E5" w14:paraId="0849B43D" w14:textId="7C3AD1BD">
      <w:pPr>
        <w:pStyle w:val="ListParagraph"/>
        <w:numPr>
          <w:ilvl w:val="0"/>
          <w:numId w:val="23"/>
        </w:numPr>
      </w:pPr>
      <w:r w:rsidRPr="00D82078">
        <w:rPr>
          <w:b/>
          <w:bCs/>
        </w:rPr>
        <w:t>Industrial Applications and Benefits</w:t>
      </w:r>
      <w:r w:rsidRPr="00D82078">
        <w:t>: The technology could make a significant industrial impact</w:t>
      </w:r>
      <w:r w:rsidR="006D78AA">
        <w:t xml:space="preserve">, </w:t>
      </w:r>
      <w:r w:rsidRPr="0055202B" w:rsidR="006D78AA">
        <w:rPr>
          <w:rStyle w:val="Emphasis"/>
        </w:rPr>
        <w:t>especially in the themes</w:t>
      </w:r>
      <w:r w:rsidRPr="0055202B" w:rsidR="00395454">
        <w:rPr>
          <w:rStyle w:val="Emphasis"/>
        </w:rPr>
        <w:t xml:space="preserve"> outlined in the TPT Launch Webinar</w:t>
      </w:r>
      <w:r w:rsidR="00395454">
        <w:t xml:space="preserve"> (</w:t>
      </w:r>
      <w:hyperlink w:history="1" r:id="rId11">
        <w:r w:rsidRPr="00451A35" w:rsidR="00395454">
          <w:rPr>
            <w:rStyle w:val="Hyperlink"/>
          </w:rPr>
          <w:t>see recording</w:t>
        </w:r>
      </w:hyperlink>
      <w:r w:rsidR="00395454">
        <w:t>)</w:t>
      </w:r>
      <w:r w:rsidRPr="00D82078">
        <w:t>.</w:t>
      </w:r>
    </w:p>
    <w:p w:rsidRPr="00D82078" w:rsidR="004F6880" w:rsidP="00CA3077" w:rsidRDefault="0049704B" w14:paraId="4525BD38" w14:textId="0F270D7D">
      <w:pPr>
        <w:pStyle w:val="ListParagraph"/>
        <w:numPr>
          <w:ilvl w:val="0"/>
          <w:numId w:val="23"/>
        </w:numPr>
      </w:pPr>
      <w:r w:rsidRPr="00D82078">
        <w:rPr>
          <w:b/>
          <w:bCs/>
        </w:rPr>
        <w:t xml:space="preserve">Technical </w:t>
      </w:r>
      <w:r w:rsidRPr="00D82078" w:rsidR="004F6880">
        <w:rPr>
          <w:b/>
          <w:bCs/>
        </w:rPr>
        <w:t>Background</w:t>
      </w:r>
      <w:r w:rsidRPr="00D82078" w:rsidR="004F6880">
        <w:t>:</w:t>
      </w:r>
      <w:r w:rsidRPr="00D82078" w:rsidR="00CA3077">
        <w:t xml:space="preserve"> </w:t>
      </w:r>
      <w:r w:rsidRPr="00D82078" w:rsidR="004F6880">
        <w:t xml:space="preserve">The proposed technology has a solid, proven and tested technical </w:t>
      </w:r>
      <w:r w:rsidR="00C52C95">
        <w:t>foundation</w:t>
      </w:r>
      <w:r w:rsidRPr="00D82078" w:rsidR="004F6880">
        <w:t>.</w:t>
      </w:r>
    </w:p>
    <w:p w:rsidRPr="00D82078" w:rsidR="004F6880" w:rsidP="00CA3077" w:rsidRDefault="00AB3017" w14:paraId="5FFA1263" w14:textId="1AE5F433">
      <w:pPr>
        <w:pStyle w:val="ListParagraph"/>
        <w:numPr>
          <w:ilvl w:val="0"/>
          <w:numId w:val="23"/>
        </w:numPr>
      </w:pPr>
      <w:r w:rsidRPr="00D82078">
        <w:rPr>
          <w:b/>
          <w:bCs/>
        </w:rPr>
        <w:t>Proposal Objectives</w:t>
      </w:r>
      <w:r w:rsidRPr="00D82078">
        <w:t xml:space="preserve">: The proposed approach is credible, value-for-money and the team </w:t>
      </w:r>
      <w:r w:rsidRPr="00D82078" w:rsidR="003464D1">
        <w:t xml:space="preserve">could </w:t>
      </w:r>
      <w:r w:rsidRPr="00D82078">
        <w:t>deliver</w:t>
      </w:r>
      <w:r w:rsidRPr="00D82078" w:rsidR="003464D1">
        <w:t xml:space="preserve"> successfully</w:t>
      </w:r>
      <w:r w:rsidR="00DA7847">
        <w:t>.</w:t>
      </w:r>
    </w:p>
    <w:p w:rsidRPr="00D82078" w:rsidR="003464D1" w:rsidP="00CA3077" w:rsidRDefault="003464D1" w14:paraId="307CC6C5" w14:textId="02D60719">
      <w:pPr>
        <w:pStyle w:val="ListParagraph"/>
        <w:numPr>
          <w:ilvl w:val="0"/>
          <w:numId w:val="23"/>
        </w:numPr>
      </w:pPr>
      <w:r w:rsidRPr="00D82078">
        <w:rPr>
          <w:b/>
          <w:bCs/>
        </w:rPr>
        <w:t>TPT Programme Suitability</w:t>
      </w:r>
      <w:r w:rsidRPr="00D82078">
        <w:t xml:space="preserve">: The technology is mature enough, and the proposal aligns with NCC capabilities and </w:t>
      </w:r>
      <w:r w:rsidRPr="00D82078" w:rsidR="00D810E4">
        <w:t>priorities</w:t>
      </w:r>
      <w:r w:rsidR="00DA7847">
        <w:t>.</w:t>
      </w:r>
    </w:p>
    <w:p w:rsidR="002C6F95" w:rsidP="006461BD" w:rsidRDefault="00807D11" w14:paraId="4D62E80D" w14:textId="1B77542B">
      <w:pPr>
        <w:pStyle w:val="Heading2"/>
      </w:pPr>
      <w:r>
        <w:t>Process s</w:t>
      </w:r>
      <w:r w:rsidR="002C6F95">
        <w:t>teps and relevant dates</w:t>
      </w:r>
    </w:p>
    <w:p w:rsidR="004C5507" w:rsidP="0051688A" w:rsidRDefault="004C5507" w14:paraId="666D1B74" w14:textId="14C067A9">
      <w:r>
        <w:t xml:space="preserve">The </w:t>
      </w:r>
      <w:r w:rsidR="00D810E4">
        <w:t xml:space="preserve">definition </w:t>
      </w:r>
      <w:r>
        <w:t xml:space="preserve">process is </w:t>
      </w:r>
      <w:r w:rsidR="00D810E4">
        <w:t>structured</w:t>
      </w:r>
      <w:r>
        <w:t xml:space="preserve"> in two stages</w:t>
      </w:r>
      <w:r w:rsidR="000A0BD1">
        <w:t xml:space="preserve"> (detailed fully in the table on the next page)</w:t>
      </w:r>
      <w:r>
        <w:t>:</w:t>
      </w:r>
    </w:p>
    <w:p w:rsidRPr="00432CDA" w:rsidR="004C5507" w:rsidP="0051688A" w:rsidRDefault="004C5507" w14:paraId="02C31E17" w14:textId="32F5BA94">
      <w:pPr>
        <w:pStyle w:val="ListParagraph"/>
        <w:numPr>
          <w:ilvl w:val="0"/>
          <w:numId w:val="18"/>
        </w:numPr>
      </w:pPr>
      <w:r w:rsidRPr="0051688A">
        <w:rPr>
          <w:b/>
        </w:rPr>
        <w:t>Stage 1</w:t>
      </w:r>
      <w:r>
        <w:t xml:space="preserve"> is based on the provision </w:t>
      </w:r>
      <w:r w:rsidRPr="00432CDA">
        <w:t>of high-level</w:t>
      </w:r>
      <w:r w:rsidRPr="00432CDA" w:rsidR="00773D90">
        <w:t>,</w:t>
      </w:r>
      <w:r w:rsidRPr="00432CDA">
        <w:t xml:space="preserve"> short </w:t>
      </w:r>
      <w:r w:rsidR="00C85424">
        <w:t>expressions of interest</w:t>
      </w:r>
      <w:r w:rsidRPr="00432CDA">
        <w:t xml:space="preserve"> </w:t>
      </w:r>
      <w:r w:rsidR="00C85424">
        <w:t>(</w:t>
      </w:r>
      <w:proofErr w:type="spellStart"/>
      <w:r w:rsidR="00C85424">
        <w:t>EoIs</w:t>
      </w:r>
      <w:proofErr w:type="spellEnd"/>
      <w:r w:rsidR="00C85424">
        <w:t xml:space="preserve">) </w:t>
      </w:r>
      <w:r w:rsidRPr="00432CDA">
        <w:t>submitted by the API</w:t>
      </w:r>
      <w:r w:rsidRPr="00432CDA" w:rsidR="00F63769">
        <w:t>s</w:t>
      </w:r>
      <w:r w:rsidRPr="00432CDA">
        <w:t xml:space="preserve"> </w:t>
      </w:r>
      <w:r w:rsidRPr="00432CDA" w:rsidR="00F63769">
        <w:t xml:space="preserve">(using </w:t>
      </w:r>
      <w:r w:rsidR="00C85424">
        <w:t>a dedicated</w:t>
      </w:r>
      <w:r w:rsidRPr="00432CDA" w:rsidR="00F63769">
        <w:t xml:space="preserve"> form</w:t>
      </w:r>
      <w:r w:rsidR="00502858">
        <w:t>, to be provided</w:t>
      </w:r>
      <w:r w:rsidRPr="00432CDA" w:rsidR="00F63769">
        <w:t xml:space="preserve">) </w:t>
      </w:r>
      <w:r w:rsidRPr="00432CDA" w:rsidR="0051688A">
        <w:t>which are then</w:t>
      </w:r>
      <w:r w:rsidRPr="00432CDA">
        <w:t xml:space="preserve"> reviewed</w:t>
      </w:r>
      <w:r w:rsidRPr="00432CDA" w:rsidR="0051688A">
        <w:t xml:space="preserve"> </w:t>
      </w:r>
      <w:r w:rsidRPr="00432CDA">
        <w:t xml:space="preserve">by two bodies: the </w:t>
      </w:r>
      <w:r w:rsidRPr="00432CDA">
        <w:rPr>
          <w:rFonts w:eastAsia="Times New Roman" w:cs="Arial"/>
          <w:i/>
          <w:color w:val="11151D"/>
          <w:lang w:eastAsia="en-GB"/>
        </w:rPr>
        <w:t>Knowledge Exchange Committee</w:t>
      </w:r>
      <w:r w:rsidRPr="00432CDA">
        <w:rPr>
          <w:rFonts w:eastAsia="Times New Roman" w:cs="Arial"/>
          <w:color w:val="11151D"/>
          <w:lang w:eastAsia="en-GB"/>
        </w:rPr>
        <w:t xml:space="preserve"> (KEC</w:t>
      </w:r>
      <w:r w:rsidRPr="00432CDA" w:rsidR="009D5796">
        <w:rPr>
          <w:rFonts w:eastAsia="Times New Roman" w:cs="Arial"/>
          <w:color w:val="11151D"/>
          <w:lang w:eastAsia="en-GB"/>
        </w:rPr>
        <w:t xml:space="preserve">, formed by the members </w:t>
      </w:r>
      <w:r w:rsidRPr="00432CDA" w:rsidR="006F0332">
        <w:rPr>
          <w:rFonts w:eastAsia="Times New Roman" w:cs="Arial"/>
          <w:color w:val="11151D"/>
          <w:lang w:eastAsia="en-GB"/>
        </w:rPr>
        <w:t>identified</w:t>
      </w:r>
      <w:r w:rsidRPr="00432CDA" w:rsidR="009D5796">
        <w:rPr>
          <w:rFonts w:eastAsia="Times New Roman" w:cs="Arial"/>
          <w:color w:val="11151D"/>
          <w:lang w:eastAsia="en-GB"/>
        </w:rPr>
        <w:t xml:space="preserve"> by the FCMRH</w:t>
      </w:r>
      <w:r w:rsidRPr="00432CDA" w:rsidR="006F0332">
        <w:rPr>
          <w:rFonts w:eastAsia="Times New Roman" w:cs="Arial"/>
          <w:color w:val="11151D"/>
          <w:lang w:eastAsia="en-GB"/>
        </w:rPr>
        <w:t xml:space="preserve"> management</w:t>
      </w:r>
      <w:r w:rsidR="00502858">
        <w:rPr>
          <w:rFonts w:eastAsia="Times New Roman" w:cs="Arial"/>
          <w:color w:val="11151D"/>
          <w:lang w:eastAsia="en-GB"/>
        </w:rPr>
        <w:t xml:space="preserve"> board</w:t>
      </w:r>
      <w:r w:rsidRPr="00432CDA">
        <w:rPr>
          <w:rFonts w:eastAsia="Times New Roman" w:cs="Arial"/>
          <w:color w:val="11151D"/>
          <w:lang w:eastAsia="en-GB"/>
        </w:rPr>
        <w:t xml:space="preserve">) and the </w:t>
      </w:r>
      <w:r w:rsidRPr="00432CDA">
        <w:rPr>
          <w:rFonts w:eastAsia="Times New Roman" w:cs="Arial"/>
          <w:bCs/>
          <w:i/>
          <w:color w:val="11151D"/>
          <w:lang w:eastAsia="en-GB"/>
        </w:rPr>
        <w:t>NCC TPT Committee</w:t>
      </w:r>
      <w:r w:rsidRPr="00432CDA" w:rsidR="009D5796">
        <w:rPr>
          <w:rFonts w:eastAsia="Times New Roman" w:cs="Arial"/>
          <w:bCs/>
          <w:color w:val="11151D"/>
          <w:lang w:eastAsia="en-GB"/>
        </w:rPr>
        <w:t xml:space="preserve"> (formed by NCC staff identified by the NCC </w:t>
      </w:r>
      <w:r w:rsidRPr="00432CDA" w:rsidR="009D5796">
        <w:rPr>
          <w:rFonts w:eastAsia="Times New Roman" w:cs="Arial"/>
          <w:bCs/>
          <w:color w:val="11151D"/>
          <w:lang w:eastAsia="en-GB"/>
        </w:rPr>
        <w:lastRenderedPageBreak/>
        <w:t>Technology Board)</w:t>
      </w:r>
      <w:r w:rsidRPr="00432CDA">
        <w:t>.</w:t>
      </w:r>
      <w:r w:rsidRPr="00432CDA" w:rsidR="00773D90">
        <w:t xml:space="preserve"> The outcome of Stage 1 is a down-selected list of proposals</w:t>
      </w:r>
      <w:r w:rsidRPr="00432CDA" w:rsidR="002D4BB7">
        <w:t xml:space="preserve"> approved to </w:t>
      </w:r>
      <w:r w:rsidR="003766EC">
        <w:t>transfer</w:t>
      </w:r>
      <w:r w:rsidRPr="00432CDA" w:rsidR="002D4BB7">
        <w:t xml:space="preserve"> to </w:t>
      </w:r>
      <w:r w:rsidR="00C85424">
        <w:t>S</w:t>
      </w:r>
      <w:r w:rsidRPr="00432CDA" w:rsidR="002D4BB7">
        <w:t>tage</w:t>
      </w:r>
      <w:r w:rsidR="00C85424">
        <w:t xml:space="preserve"> 2</w:t>
      </w:r>
      <w:r w:rsidRPr="00432CDA" w:rsidR="00773D90">
        <w:t>.</w:t>
      </w:r>
    </w:p>
    <w:p w:rsidR="004C5507" w:rsidP="0051688A" w:rsidRDefault="004C5507" w14:paraId="12660FE1" w14:textId="6D280663">
      <w:pPr>
        <w:pStyle w:val="ListParagraph"/>
        <w:numPr>
          <w:ilvl w:val="0"/>
          <w:numId w:val="18"/>
        </w:numPr>
      </w:pPr>
      <w:r w:rsidRPr="0051688A">
        <w:rPr>
          <w:b/>
        </w:rPr>
        <w:t>Stage 2</w:t>
      </w:r>
      <w:r>
        <w:t xml:space="preserve"> </w:t>
      </w:r>
      <w:r w:rsidR="00773D90">
        <w:t xml:space="preserve">requires the </w:t>
      </w:r>
      <w:r w:rsidR="003B778A">
        <w:t xml:space="preserve">approved </w:t>
      </w:r>
      <w:r w:rsidR="00773D90">
        <w:t>applicants</w:t>
      </w:r>
      <w:r w:rsidR="003766EC">
        <w:t xml:space="preserve">, together with the support of an NCC Champion (identified by the </w:t>
      </w:r>
      <w:r w:rsidRPr="001D6091" w:rsidR="003766EC">
        <w:rPr>
          <w:i/>
        </w:rPr>
        <w:t>NCC TPT Committee</w:t>
      </w:r>
      <w:r w:rsidR="003766EC">
        <w:t>),</w:t>
      </w:r>
      <w:r w:rsidR="00773D90">
        <w:t xml:space="preserve"> </w:t>
      </w:r>
      <w:r w:rsidR="003B778A">
        <w:t>to</w:t>
      </w:r>
      <w:r w:rsidR="00773D90">
        <w:t xml:space="preserve"> submit a fully detailed proposal. The Stage 2 proposals are </w:t>
      </w:r>
      <w:r w:rsidR="00D82078">
        <w:t xml:space="preserve">subsequently </w:t>
      </w:r>
      <w:r w:rsidR="00773D90">
        <w:t xml:space="preserve">reviewed by the </w:t>
      </w:r>
      <w:r w:rsidRPr="00773D90" w:rsidR="00773D90">
        <w:rPr>
          <w:i/>
        </w:rPr>
        <w:t>NCC TPT Committee</w:t>
      </w:r>
      <w:r w:rsidR="00773D90">
        <w:t xml:space="preserve"> and the output is a final list of </w:t>
      </w:r>
      <w:r w:rsidR="002D4BB7">
        <w:t xml:space="preserve">funded </w:t>
      </w:r>
      <w:r w:rsidR="00773D90">
        <w:t>project</w:t>
      </w:r>
      <w:r w:rsidR="002D4BB7">
        <w:t>s</w:t>
      </w:r>
      <w:r w:rsidR="00773D90">
        <w:t>.</w:t>
      </w:r>
    </w:p>
    <w:p w:rsidRPr="00CA3077" w:rsidR="00CA3077" w:rsidP="00CA3077" w:rsidRDefault="00CA3077" w14:paraId="5BA741A8" w14:textId="20C3EF98">
      <w:pPr>
        <w:rPr>
          <w:b/>
          <w:bCs/>
        </w:rPr>
      </w:pPr>
      <w:r w:rsidRPr="00CA3077">
        <w:rPr>
          <w:b/>
          <w:bCs/>
        </w:rPr>
        <w:t xml:space="preserve">The </w:t>
      </w:r>
      <w:r w:rsidR="006C7890">
        <w:rPr>
          <w:b/>
          <w:bCs/>
        </w:rPr>
        <w:t xml:space="preserve">stage 1 </w:t>
      </w:r>
      <w:r w:rsidRPr="00CA3077">
        <w:rPr>
          <w:b/>
          <w:bCs/>
        </w:rPr>
        <w:t xml:space="preserve">call closes at </w:t>
      </w:r>
      <w:r w:rsidR="00DA7847">
        <w:rPr>
          <w:b/>
          <w:bCs/>
        </w:rPr>
        <w:t>23.0</w:t>
      </w:r>
      <w:r w:rsidRPr="00CA3077">
        <w:rPr>
          <w:b/>
          <w:bCs/>
        </w:rPr>
        <w:t xml:space="preserve">0 on </w:t>
      </w:r>
      <w:r w:rsidR="008743BF">
        <w:rPr>
          <w:b/>
          <w:bCs/>
        </w:rPr>
        <w:t xml:space="preserve">Friday </w:t>
      </w:r>
      <w:r w:rsidR="007644CD">
        <w:rPr>
          <w:b/>
          <w:bCs/>
        </w:rPr>
        <w:t>1</w:t>
      </w:r>
      <w:r w:rsidR="005521D8">
        <w:rPr>
          <w:b/>
          <w:bCs/>
        </w:rPr>
        <w:t>7</w:t>
      </w:r>
      <w:r w:rsidRPr="007644CD">
        <w:rPr>
          <w:b/>
          <w:bCs/>
          <w:vertAlign w:val="superscript"/>
        </w:rPr>
        <w:t>th</w:t>
      </w:r>
      <w:r w:rsidR="007644CD">
        <w:rPr>
          <w:b/>
          <w:bCs/>
        </w:rPr>
        <w:t xml:space="preserve"> </w:t>
      </w:r>
      <w:r w:rsidR="006C7890">
        <w:rPr>
          <w:b/>
          <w:bCs/>
        </w:rPr>
        <w:t xml:space="preserve">November </w:t>
      </w:r>
      <w:r w:rsidRPr="00CA3077">
        <w:rPr>
          <w:b/>
          <w:bCs/>
        </w:rPr>
        <w:t>202</w:t>
      </w:r>
      <w:r w:rsidR="005521D8">
        <w:rPr>
          <w:b/>
          <w:bCs/>
        </w:rPr>
        <w:t>3</w:t>
      </w:r>
      <w:r w:rsidR="006C7890">
        <w:rPr>
          <w:b/>
          <w:bCs/>
        </w:rPr>
        <w:t>.</w:t>
      </w:r>
      <w:r w:rsidRPr="00CA3077">
        <w:rPr>
          <w:b/>
          <w:bCs/>
        </w:rPr>
        <w:t xml:space="preserve"> </w:t>
      </w:r>
      <w:r w:rsidR="006C7890">
        <w:rPr>
          <w:b/>
          <w:bCs/>
        </w:rPr>
        <w:t>P</w:t>
      </w:r>
      <w:r w:rsidRPr="00CA3077">
        <w:rPr>
          <w:b/>
          <w:bCs/>
        </w:rPr>
        <w:t>roposals received after this time will be rejected.</w:t>
      </w:r>
    </w:p>
    <w:tbl>
      <w:tblPr>
        <w:tblW w:w="9346" w:type="dxa"/>
        <w:tblLook w:val="04A0" w:firstRow="1" w:lastRow="0" w:firstColumn="1" w:lastColumn="0" w:noHBand="0" w:noVBand="1"/>
      </w:tblPr>
      <w:tblGrid>
        <w:gridCol w:w="2400"/>
        <w:gridCol w:w="4820"/>
        <w:gridCol w:w="2126"/>
      </w:tblGrid>
      <w:tr w:rsidRPr="00F54A4D" w:rsidR="00BE73B1" w:rsidTr="61C15CD2" w14:paraId="5D844228" w14:textId="77777777">
        <w:trPr>
          <w:trHeight w:val="567"/>
        </w:trPr>
        <w:tc>
          <w:tcPr>
            <w:tcW w:w="7220" w:type="dxa"/>
            <w:gridSpan w:val="2"/>
            <w:tcBorders>
              <w:top w:val="single" w:color="FFFFFF" w:themeColor="background1" w:sz="8" w:space="0"/>
              <w:left w:val="single" w:color="FFFFFF" w:themeColor="background1" w:sz="8" w:space="0"/>
              <w:bottom w:val="single" w:color="FFFFFF" w:themeColor="background1" w:sz="12" w:space="0"/>
              <w:right w:val="single" w:color="FFFFFF" w:themeColor="background1" w:sz="8" w:space="0"/>
            </w:tcBorders>
            <w:shd w:val="clear" w:color="auto" w:fill="002060"/>
            <w:tcMar/>
            <w:vAlign w:val="center"/>
          </w:tcPr>
          <w:p w:rsidRPr="00F54A4D" w:rsidR="00BE73B1" w:rsidP="006C7890" w:rsidRDefault="00BE73B1" w14:paraId="707BF511" w14:textId="77777777">
            <w:pPr>
              <w:spacing w:after="0" w:line="240" w:lineRule="auto"/>
              <w:jc w:val="left"/>
              <w:rPr>
                <w:rFonts w:ascii="Arial" w:hAnsi="Arial" w:eastAsia="Times New Roman" w:cs="Arial"/>
                <w:b/>
                <w:bCs/>
                <w:color w:val="FFFFFF"/>
                <w:sz w:val="20"/>
                <w:szCs w:val="20"/>
                <w:lang w:eastAsia="en-GB"/>
              </w:rPr>
            </w:pPr>
            <w:r w:rsidRPr="00F54A4D">
              <w:rPr>
                <w:rFonts w:ascii="Arial" w:hAnsi="Arial" w:eastAsia="Times New Roman" w:cs="Arial"/>
                <w:b/>
                <w:bCs/>
                <w:color w:val="FFFFFF"/>
                <w:sz w:val="20"/>
                <w:szCs w:val="20"/>
                <w:lang w:eastAsia="en-GB"/>
              </w:rPr>
              <w:t>Step</w:t>
            </w:r>
          </w:p>
        </w:tc>
        <w:tc>
          <w:tcPr>
            <w:tcW w:w="2126" w:type="dxa"/>
            <w:tcBorders>
              <w:top w:val="single" w:color="FFFFFF" w:themeColor="background1" w:sz="8" w:space="0"/>
              <w:left w:val="nil"/>
              <w:bottom w:val="single" w:color="FFFFFF" w:themeColor="background1" w:sz="12" w:space="0"/>
              <w:right w:val="single" w:color="FFFFFF" w:themeColor="background1" w:sz="8" w:space="0"/>
            </w:tcBorders>
            <w:shd w:val="clear" w:color="auto" w:fill="002060"/>
            <w:tcMar/>
            <w:vAlign w:val="center"/>
            <w:hideMark/>
          </w:tcPr>
          <w:p w:rsidRPr="00F54A4D" w:rsidR="00BE73B1" w:rsidP="00EE64FA" w:rsidRDefault="004C5507" w14:paraId="5E758536" w14:textId="77777777">
            <w:pPr>
              <w:spacing w:after="0" w:line="240" w:lineRule="auto"/>
              <w:jc w:val="center"/>
              <w:rPr>
                <w:rFonts w:ascii="Arial" w:hAnsi="Arial" w:eastAsia="Times New Roman" w:cs="Arial"/>
                <w:b/>
                <w:bCs/>
                <w:color w:val="FFFFFF"/>
                <w:sz w:val="20"/>
                <w:szCs w:val="20"/>
                <w:lang w:eastAsia="en-GB"/>
              </w:rPr>
            </w:pPr>
            <w:r>
              <w:rPr>
                <w:rFonts w:ascii="Arial" w:hAnsi="Arial" w:eastAsia="Times New Roman" w:cs="Arial"/>
                <w:b/>
                <w:bCs/>
                <w:color w:val="FFFFFF"/>
                <w:sz w:val="20"/>
                <w:szCs w:val="20"/>
                <w:lang w:eastAsia="en-GB"/>
              </w:rPr>
              <w:t>Completed by</w:t>
            </w:r>
          </w:p>
        </w:tc>
      </w:tr>
      <w:tr w:rsidRPr="00F54A4D" w:rsidR="00BE73B1" w:rsidTr="61C15CD2" w14:paraId="32EBAF13" w14:textId="77777777">
        <w:trPr>
          <w:trHeight w:val="340"/>
        </w:trPr>
        <w:tc>
          <w:tcPr>
            <w:tcW w:w="7220" w:type="dxa"/>
            <w:gridSpan w:val="2"/>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tcPr>
          <w:p w:rsidRPr="00F54A4D" w:rsidR="00BE73B1" w:rsidP="0051688A" w:rsidRDefault="00BE73B1" w14:paraId="35EAD4B2" w14:textId="77777777">
            <w:pPr>
              <w:spacing w:after="0" w:line="240" w:lineRule="auto"/>
              <w:jc w:val="left"/>
              <w:rPr>
                <w:rFonts w:ascii="Arial" w:hAnsi="Arial" w:eastAsia="Times New Roman" w:cs="Arial"/>
                <w:b/>
                <w:bCs/>
                <w:color w:val="11151D"/>
                <w:sz w:val="20"/>
                <w:szCs w:val="20"/>
                <w:lang w:eastAsia="en-GB"/>
              </w:rPr>
            </w:pPr>
            <w:r>
              <w:rPr>
                <w:rFonts w:ascii="Arial" w:hAnsi="Arial" w:eastAsia="Times New Roman" w:cs="Arial"/>
                <w:b/>
                <w:bCs/>
                <w:color w:val="11151D"/>
                <w:sz w:val="20"/>
                <w:szCs w:val="20"/>
                <w:lang w:eastAsia="en-GB"/>
              </w:rPr>
              <w:t>Open Call</w:t>
            </w: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BE73B1" w:rsidP="00E543E1" w:rsidRDefault="007344A4" w14:paraId="0CEE742E" w14:textId="319BBBE2">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1</w:t>
            </w:r>
            <w:r w:rsidR="00EE6C4F">
              <w:rPr>
                <w:rFonts w:ascii="Arial" w:hAnsi="Arial" w:eastAsia="Times New Roman" w:cs="Arial"/>
                <w:color w:val="11151D"/>
                <w:sz w:val="20"/>
                <w:szCs w:val="20"/>
                <w:lang w:eastAsia="en-GB"/>
              </w:rPr>
              <w:t>6</w:t>
            </w:r>
            <w:r w:rsidR="001C73EF">
              <w:rPr>
                <w:rFonts w:ascii="Arial" w:hAnsi="Arial" w:eastAsia="Times New Roman" w:cs="Arial"/>
                <w:color w:val="11151D"/>
                <w:sz w:val="20"/>
                <w:szCs w:val="20"/>
                <w:lang w:eastAsia="en-GB"/>
              </w:rPr>
              <w:t xml:space="preserve"> </w:t>
            </w:r>
            <w:r>
              <w:rPr>
                <w:rFonts w:ascii="Arial" w:hAnsi="Arial" w:eastAsia="Times New Roman" w:cs="Arial"/>
                <w:color w:val="11151D"/>
                <w:sz w:val="20"/>
                <w:szCs w:val="20"/>
                <w:lang w:eastAsia="en-GB"/>
              </w:rPr>
              <w:t>October 202</w:t>
            </w:r>
            <w:r w:rsidR="00EE6C4F">
              <w:rPr>
                <w:rFonts w:ascii="Arial" w:hAnsi="Arial" w:eastAsia="Times New Roman" w:cs="Arial"/>
                <w:color w:val="11151D"/>
                <w:sz w:val="20"/>
                <w:szCs w:val="20"/>
                <w:lang w:eastAsia="en-GB"/>
              </w:rPr>
              <w:t>3</w:t>
            </w:r>
          </w:p>
        </w:tc>
      </w:tr>
      <w:tr w:rsidRPr="00F54A4D" w:rsidR="00773D90" w:rsidTr="61C15CD2" w14:paraId="50885BB2" w14:textId="77777777">
        <w:trPr>
          <w:trHeight w:val="259"/>
        </w:trPr>
        <w:tc>
          <w:tcPr>
            <w:tcW w:w="9346" w:type="dxa"/>
            <w:gridSpan w:val="3"/>
            <w:tcBorders>
              <w:top w:val="nil"/>
              <w:left w:val="single" w:color="FFFFFF" w:themeColor="background1" w:sz="8" w:space="0"/>
              <w:bottom w:val="single" w:color="FFFFFF" w:themeColor="background1" w:sz="8" w:space="0"/>
              <w:right w:val="single" w:color="FFFFFF" w:themeColor="background1" w:sz="8" w:space="0"/>
            </w:tcBorders>
            <w:shd w:val="clear" w:color="auto" w:fill="5B9BD5" w:themeFill="accent1"/>
            <w:tcMar/>
            <w:vAlign w:val="center"/>
          </w:tcPr>
          <w:p w:rsidRPr="00F54A4D" w:rsidR="00773D90" w:rsidP="00773D90" w:rsidRDefault="00773D90" w14:paraId="16A845BF" w14:textId="77777777">
            <w:pPr>
              <w:spacing w:after="0" w:line="240" w:lineRule="auto"/>
              <w:jc w:val="left"/>
              <w:rPr>
                <w:rFonts w:ascii="Arial" w:hAnsi="Arial" w:eastAsia="Times New Roman" w:cs="Arial"/>
                <w:color w:val="11151D"/>
                <w:sz w:val="20"/>
                <w:szCs w:val="20"/>
                <w:lang w:eastAsia="en-GB"/>
              </w:rPr>
            </w:pPr>
            <w:r w:rsidRPr="00C40799">
              <w:rPr>
                <w:rFonts w:ascii="Arial" w:hAnsi="Arial" w:eastAsia="Times New Roman" w:cs="Arial"/>
                <w:b/>
                <w:color w:val="FFFFFF" w:themeColor="background1"/>
                <w:sz w:val="20"/>
                <w:szCs w:val="20"/>
                <w:lang w:eastAsia="en-GB"/>
              </w:rPr>
              <w:t>Stage 1</w:t>
            </w:r>
          </w:p>
        </w:tc>
      </w:tr>
      <w:tr w:rsidRPr="00F54A4D" w:rsidR="004C5507" w:rsidTr="61C15CD2" w14:paraId="0F800DE8" w14:textId="77777777">
        <w:trPr>
          <w:trHeight w:val="540"/>
        </w:trPr>
        <w:tc>
          <w:tcPr>
            <w:tcW w:w="240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tcPr>
          <w:p w:rsidRPr="0051688A" w:rsidR="00BE73B1" w:rsidDel="00807D11" w:rsidP="00502858" w:rsidRDefault="00C85424" w14:paraId="1A32950E" w14:textId="0A3ED9B7">
            <w:pPr>
              <w:spacing w:after="0" w:line="240" w:lineRule="auto"/>
              <w:jc w:val="left"/>
              <w:rPr>
                <w:rFonts w:ascii="Arial" w:hAnsi="Arial" w:eastAsia="Times New Roman" w:cs="Arial"/>
                <w:b/>
                <w:color w:val="11151D"/>
                <w:sz w:val="20"/>
                <w:szCs w:val="20"/>
                <w:lang w:eastAsia="en-GB"/>
              </w:rPr>
            </w:pPr>
            <w:proofErr w:type="spellStart"/>
            <w:r>
              <w:rPr>
                <w:rFonts w:ascii="Arial" w:hAnsi="Arial" w:eastAsia="Times New Roman" w:cs="Arial"/>
                <w:b/>
                <w:color w:val="11151D"/>
                <w:sz w:val="20"/>
                <w:szCs w:val="20"/>
                <w:lang w:eastAsia="en-GB"/>
              </w:rPr>
              <w:t>EoIs</w:t>
            </w:r>
            <w:proofErr w:type="spellEnd"/>
            <w:r w:rsidRPr="0051688A" w:rsidR="00BE73B1">
              <w:rPr>
                <w:rFonts w:ascii="Arial" w:hAnsi="Arial" w:eastAsia="Times New Roman" w:cs="Arial"/>
                <w:b/>
                <w:color w:val="11151D"/>
                <w:sz w:val="20"/>
                <w:szCs w:val="20"/>
                <w:lang w:eastAsia="en-GB"/>
              </w:rPr>
              <w:t xml:space="preserve"> submission</w:t>
            </w:r>
          </w:p>
        </w:tc>
        <w:tc>
          <w:tcPr>
            <w:tcW w:w="482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hideMark/>
          </w:tcPr>
          <w:p w:rsidRPr="0051688A" w:rsidR="00BE73B1" w:rsidP="00DB7815" w:rsidRDefault="00BE73B1" w14:paraId="218D0850" w14:textId="094A2DB8">
            <w:pPr>
              <w:spacing w:after="0" w:line="240" w:lineRule="auto"/>
              <w:jc w:val="left"/>
              <w:rPr>
                <w:rFonts w:ascii="Arial" w:hAnsi="Arial" w:eastAsia="Times New Roman" w:cs="Arial"/>
                <w:color w:val="11151D"/>
                <w:sz w:val="20"/>
                <w:szCs w:val="20"/>
                <w:lang w:eastAsia="en-GB"/>
              </w:rPr>
            </w:pPr>
            <w:r w:rsidRPr="0051688A">
              <w:rPr>
                <w:rFonts w:ascii="Arial" w:hAnsi="Arial" w:eastAsia="Times New Roman" w:cs="Arial"/>
                <w:color w:val="11151D"/>
                <w:sz w:val="20"/>
                <w:szCs w:val="20"/>
                <w:lang w:eastAsia="en-GB"/>
              </w:rPr>
              <w:t xml:space="preserve">APIs send </w:t>
            </w:r>
            <w:proofErr w:type="spellStart"/>
            <w:r w:rsidR="00C85424">
              <w:rPr>
                <w:rFonts w:ascii="Arial" w:hAnsi="Arial" w:eastAsia="Times New Roman" w:cs="Arial"/>
                <w:bCs/>
                <w:color w:val="11151D"/>
                <w:sz w:val="20"/>
                <w:szCs w:val="20"/>
                <w:lang w:eastAsia="en-GB"/>
              </w:rPr>
              <w:t>EoI</w:t>
            </w:r>
            <w:proofErr w:type="spellEnd"/>
            <w:r w:rsidRPr="0051688A">
              <w:rPr>
                <w:rFonts w:ascii="Arial" w:hAnsi="Arial" w:eastAsia="Times New Roman" w:cs="Arial"/>
                <w:bCs/>
                <w:color w:val="11151D"/>
                <w:sz w:val="20"/>
                <w:szCs w:val="20"/>
                <w:lang w:eastAsia="en-GB"/>
              </w:rPr>
              <w:t xml:space="preserve"> </w:t>
            </w:r>
            <w:r w:rsidR="00DB7815">
              <w:rPr>
                <w:rFonts w:ascii="Arial" w:hAnsi="Arial" w:eastAsia="Times New Roman" w:cs="Arial"/>
                <w:color w:val="11151D"/>
                <w:sz w:val="20"/>
                <w:szCs w:val="20"/>
                <w:lang w:eastAsia="en-GB"/>
              </w:rPr>
              <w:t xml:space="preserve">to </w:t>
            </w:r>
            <w:hyperlink w:history="1" r:id="rId12">
              <w:r w:rsidRPr="00B30989" w:rsidR="00DB7815">
                <w:rPr>
                  <w:rStyle w:val="Hyperlink"/>
                  <w:rFonts w:ascii="Arial" w:hAnsi="Arial" w:eastAsia="Times New Roman" w:cs="Arial"/>
                  <w:sz w:val="20"/>
                  <w:szCs w:val="20"/>
                  <w:lang w:eastAsia="en-GB"/>
                </w:rPr>
                <w:t>tpt@nccuk.com</w:t>
              </w:r>
            </w:hyperlink>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BE73B1" w:rsidP="00EE64FA" w:rsidRDefault="006C4C8F" w14:paraId="3A84B0D1" w14:textId="7F02354A">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1</w:t>
            </w:r>
            <w:r w:rsidR="00E878AF">
              <w:rPr>
                <w:rFonts w:ascii="Arial" w:hAnsi="Arial" w:eastAsia="Times New Roman" w:cs="Arial"/>
                <w:color w:val="11151D"/>
                <w:sz w:val="20"/>
                <w:szCs w:val="20"/>
                <w:lang w:eastAsia="en-GB"/>
              </w:rPr>
              <w:t>7</w:t>
            </w:r>
            <w:r w:rsidR="001C73EF">
              <w:rPr>
                <w:rFonts w:ascii="Arial" w:hAnsi="Arial" w:eastAsia="Times New Roman" w:cs="Arial"/>
                <w:color w:val="11151D"/>
                <w:sz w:val="20"/>
                <w:szCs w:val="20"/>
                <w:lang w:eastAsia="en-GB"/>
              </w:rPr>
              <w:t xml:space="preserve"> </w:t>
            </w:r>
            <w:r w:rsidR="008F5400">
              <w:rPr>
                <w:rFonts w:ascii="Arial" w:hAnsi="Arial" w:eastAsia="Times New Roman" w:cs="Arial"/>
                <w:color w:val="11151D"/>
                <w:sz w:val="20"/>
                <w:szCs w:val="20"/>
                <w:lang w:eastAsia="en-GB"/>
              </w:rPr>
              <w:t>November</w:t>
            </w:r>
            <w:r w:rsidR="00CB2F33">
              <w:rPr>
                <w:rFonts w:ascii="Arial" w:hAnsi="Arial" w:eastAsia="Times New Roman" w:cs="Arial"/>
                <w:color w:val="11151D"/>
                <w:sz w:val="20"/>
                <w:szCs w:val="20"/>
                <w:lang w:eastAsia="en-GB"/>
              </w:rPr>
              <w:t xml:space="preserve"> </w:t>
            </w:r>
            <w:r w:rsidR="00A54E86">
              <w:rPr>
                <w:rFonts w:ascii="Arial" w:hAnsi="Arial" w:eastAsia="Times New Roman" w:cs="Arial"/>
                <w:color w:val="11151D"/>
                <w:sz w:val="20"/>
                <w:szCs w:val="20"/>
                <w:lang w:eastAsia="en-GB"/>
              </w:rPr>
              <w:t>202</w:t>
            </w:r>
            <w:r w:rsidR="00E878AF">
              <w:rPr>
                <w:rFonts w:ascii="Arial" w:hAnsi="Arial" w:eastAsia="Times New Roman" w:cs="Arial"/>
                <w:color w:val="11151D"/>
                <w:sz w:val="20"/>
                <w:szCs w:val="20"/>
                <w:lang w:eastAsia="en-GB"/>
              </w:rPr>
              <w:t>3</w:t>
            </w:r>
          </w:p>
        </w:tc>
      </w:tr>
      <w:tr w:rsidRPr="00F54A4D" w:rsidR="00233AD4" w:rsidTr="61C15CD2" w14:paraId="435B3286" w14:textId="77777777">
        <w:trPr>
          <w:trHeight w:val="315"/>
        </w:trPr>
        <w:tc>
          <w:tcPr>
            <w:tcW w:w="2400" w:type="dxa"/>
            <w:vMerge w:val="restart"/>
            <w:tcBorders>
              <w:top w:val="nil"/>
              <w:left w:val="single" w:color="FFFFFF" w:themeColor="background1" w:sz="8" w:space="0"/>
              <w:right w:val="single" w:color="FFFFFF" w:themeColor="background1" w:sz="8" w:space="0"/>
            </w:tcBorders>
            <w:shd w:val="clear" w:color="auto" w:fill="E7EAF1"/>
            <w:tcMar/>
            <w:vAlign w:val="center"/>
          </w:tcPr>
          <w:p w:rsidRPr="0051688A" w:rsidR="00233AD4" w:rsidP="00502858" w:rsidRDefault="002753A9" w14:paraId="3EA237CD" w14:textId="0F192BE7">
            <w:pPr>
              <w:spacing w:after="0" w:line="240" w:lineRule="auto"/>
              <w:jc w:val="left"/>
              <w:rPr>
                <w:rFonts w:ascii="Arial" w:hAnsi="Arial" w:eastAsia="Times New Roman" w:cs="Arial"/>
                <w:b/>
                <w:color w:val="11151D"/>
                <w:sz w:val="20"/>
                <w:szCs w:val="20"/>
                <w:lang w:eastAsia="en-GB"/>
              </w:rPr>
            </w:pPr>
            <w:proofErr w:type="spellStart"/>
            <w:r>
              <w:rPr>
                <w:rFonts w:ascii="Arial" w:hAnsi="Arial" w:eastAsia="Times New Roman" w:cs="Arial"/>
                <w:b/>
                <w:color w:val="11151D"/>
                <w:sz w:val="20"/>
                <w:szCs w:val="20"/>
                <w:lang w:eastAsia="en-GB"/>
              </w:rPr>
              <w:t>EoIs</w:t>
            </w:r>
            <w:proofErr w:type="spellEnd"/>
            <w:r w:rsidRPr="0051688A" w:rsidR="00233AD4">
              <w:rPr>
                <w:rFonts w:ascii="Arial" w:hAnsi="Arial" w:eastAsia="Times New Roman" w:cs="Arial"/>
                <w:b/>
                <w:color w:val="11151D"/>
                <w:sz w:val="20"/>
                <w:szCs w:val="20"/>
                <w:lang w:eastAsia="en-GB"/>
              </w:rPr>
              <w:t xml:space="preserve"> preselection</w:t>
            </w:r>
          </w:p>
        </w:tc>
        <w:tc>
          <w:tcPr>
            <w:tcW w:w="482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hideMark/>
          </w:tcPr>
          <w:p w:rsidRPr="0051688A" w:rsidR="00233AD4" w:rsidP="0051688A" w:rsidRDefault="00233AD4" w14:paraId="704387FD" w14:textId="12A3B017">
            <w:pPr>
              <w:spacing w:after="0" w:line="240" w:lineRule="auto"/>
              <w:jc w:val="left"/>
              <w:rPr>
                <w:rFonts w:ascii="Arial" w:hAnsi="Arial" w:eastAsia="Times New Roman" w:cs="Arial"/>
                <w:bCs/>
                <w:color w:val="11151D"/>
                <w:sz w:val="20"/>
                <w:szCs w:val="20"/>
                <w:lang w:eastAsia="en-GB"/>
              </w:rPr>
            </w:pPr>
            <w:r w:rsidRPr="0051688A">
              <w:rPr>
                <w:rFonts w:ascii="Arial" w:hAnsi="Arial" w:eastAsia="Times New Roman" w:cs="Arial"/>
                <w:color w:val="11151D"/>
                <w:sz w:val="20"/>
                <w:szCs w:val="20"/>
                <w:lang w:eastAsia="en-GB"/>
              </w:rPr>
              <w:t>KEC</w:t>
            </w:r>
            <w:r w:rsidRPr="0051688A">
              <w:rPr>
                <w:rFonts w:ascii="Arial" w:hAnsi="Arial" w:eastAsia="Times New Roman" w:cs="Arial"/>
                <w:bCs/>
                <w:color w:val="11151D"/>
                <w:sz w:val="20"/>
                <w:szCs w:val="20"/>
                <w:lang w:eastAsia="en-GB"/>
              </w:rPr>
              <w:t xml:space="preserve"> review</w:t>
            </w:r>
            <w:r w:rsidR="009B3B56">
              <w:rPr>
                <w:rFonts w:ascii="Arial" w:hAnsi="Arial" w:eastAsia="Times New Roman" w:cs="Arial"/>
                <w:bCs/>
                <w:color w:val="11151D"/>
                <w:sz w:val="20"/>
                <w:szCs w:val="20"/>
                <w:lang w:eastAsia="en-GB"/>
              </w:rPr>
              <w:t>s</w:t>
            </w:r>
            <w:r>
              <w:rPr>
                <w:rFonts w:ascii="Arial" w:hAnsi="Arial" w:eastAsia="Times New Roman" w:cs="Arial"/>
                <w:bCs/>
                <w:color w:val="11151D"/>
                <w:sz w:val="20"/>
                <w:szCs w:val="20"/>
                <w:lang w:eastAsia="en-GB"/>
              </w:rPr>
              <w:t xml:space="preserve"> </w:t>
            </w:r>
            <w:proofErr w:type="spellStart"/>
            <w:r w:rsidR="002753A9">
              <w:rPr>
                <w:rFonts w:ascii="Arial" w:hAnsi="Arial" w:eastAsia="Times New Roman" w:cs="Arial"/>
                <w:bCs/>
                <w:color w:val="11151D"/>
                <w:sz w:val="20"/>
                <w:szCs w:val="20"/>
                <w:lang w:eastAsia="en-GB"/>
              </w:rPr>
              <w:t>EoIs</w:t>
            </w:r>
            <w:proofErr w:type="spellEnd"/>
            <w:r w:rsidRPr="0051688A">
              <w:rPr>
                <w:rFonts w:ascii="Arial" w:hAnsi="Arial" w:eastAsia="Times New Roman" w:cs="Arial"/>
                <w:bCs/>
                <w:color w:val="11151D"/>
                <w:sz w:val="20"/>
                <w:szCs w:val="20"/>
                <w:lang w:eastAsia="en-GB"/>
              </w:rPr>
              <w:t xml:space="preserve"> </w:t>
            </w:r>
            <w:r w:rsidRPr="0051688A">
              <w:rPr>
                <w:rFonts w:ascii="Arial" w:hAnsi="Arial" w:eastAsia="Times New Roman" w:cs="Arial"/>
                <w:color w:val="11151D"/>
                <w:sz w:val="20"/>
                <w:szCs w:val="20"/>
                <w:lang w:eastAsia="en-GB"/>
              </w:rPr>
              <w:t>and provides recommendations</w:t>
            </w:r>
            <w:r w:rsidR="002D4BB7">
              <w:rPr>
                <w:rFonts w:ascii="Arial" w:hAnsi="Arial" w:eastAsia="Times New Roman" w:cs="Arial"/>
                <w:color w:val="11151D"/>
                <w:sz w:val="20"/>
                <w:szCs w:val="20"/>
                <w:lang w:eastAsia="en-GB"/>
              </w:rPr>
              <w:t xml:space="preserve"> to</w:t>
            </w:r>
            <w:r w:rsidR="009B3B56">
              <w:rPr>
                <w:rFonts w:ascii="Arial" w:hAnsi="Arial" w:eastAsia="Times New Roman" w:cs="Arial"/>
                <w:color w:val="11151D"/>
                <w:sz w:val="20"/>
                <w:szCs w:val="20"/>
                <w:lang w:eastAsia="en-GB"/>
              </w:rPr>
              <w:t xml:space="preserve"> </w:t>
            </w:r>
            <w:r w:rsidRPr="0051688A">
              <w:rPr>
                <w:rFonts w:ascii="Arial" w:hAnsi="Arial" w:eastAsia="Times New Roman" w:cs="Arial"/>
                <w:color w:val="11151D"/>
                <w:sz w:val="20"/>
                <w:szCs w:val="20"/>
                <w:lang w:eastAsia="en-GB"/>
              </w:rPr>
              <w:t>TPT committee</w:t>
            </w: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233AD4" w:rsidP="001C73EF" w:rsidRDefault="005B11B8" w14:paraId="69C4F0EA" w14:textId="792D7560">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1</w:t>
            </w:r>
            <w:r w:rsidR="002753A9">
              <w:rPr>
                <w:rFonts w:ascii="Arial" w:hAnsi="Arial" w:eastAsia="Times New Roman" w:cs="Arial"/>
                <w:color w:val="11151D"/>
                <w:sz w:val="20"/>
                <w:szCs w:val="20"/>
                <w:lang w:eastAsia="en-GB"/>
              </w:rPr>
              <w:t xml:space="preserve"> </w:t>
            </w:r>
            <w:r w:rsidR="0092306A">
              <w:rPr>
                <w:rFonts w:ascii="Arial" w:hAnsi="Arial" w:eastAsia="Times New Roman" w:cs="Arial"/>
                <w:color w:val="11151D"/>
                <w:sz w:val="20"/>
                <w:szCs w:val="20"/>
                <w:lang w:eastAsia="en-GB"/>
              </w:rPr>
              <w:t xml:space="preserve">December </w:t>
            </w:r>
            <w:r w:rsidR="00A54E86">
              <w:rPr>
                <w:rFonts w:ascii="Arial" w:hAnsi="Arial" w:eastAsia="Times New Roman" w:cs="Arial"/>
                <w:color w:val="11151D"/>
                <w:sz w:val="20"/>
                <w:szCs w:val="20"/>
                <w:lang w:eastAsia="en-GB"/>
              </w:rPr>
              <w:t>202</w:t>
            </w:r>
            <w:r w:rsidR="00E878AF">
              <w:rPr>
                <w:rFonts w:ascii="Arial" w:hAnsi="Arial" w:eastAsia="Times New Roman" w:cs="Arial"/>
                <w:color w:val="11151D"/>
                <w:sz w:val="20"/>
                <w:szCs w:val="20"/>
                <w:lang w:eastAsia="en-GB"/>
              </w:rPr>
              <w:t>3</w:t>
            </w:r>
            <w:r w:rsidR="0092306A">
              <w:rPr>
                <w:rFonts w:ascii="Arial" w:hAnsi="Arial" w:eastAsia="Times New Roman" w:cs="Arial"/>
                <w:color w:val="11151D"/>
                <w:sz w:val="20"/>
                <w:szCs w:val="20"/>
                <w:lang w:eastAsia="en-GB"/>
              </w:rPr>
              <w:t>*</w:t>
            </w:r>
          </w:p>
        </w:tc>
      </w:tr>
      <w:tr w:rsidRPr="00F54A4D" w:rsidR="0092306A" w:rsidTr="61C15CD2" w14:paraId="13AC6177" w14:textId="77777777">
        <w:trPr>
          <w:trHeight w:val="315"/>
        </w:trPr>
        <w:tc>
          <w:tcPr>
            <w:tcW w:w="2400" w:type="dxa"/>
            <w:vMerge/>
            <w:tcBorders/>
            <w:tcMar/>
            <w:vAlign w:val="center"/>
          </w:tcPr>
          <w:p w:rsidRPr="0051688A" w:rsidR="0092306A" w:rsidP="00502858" w:rsidRDefault="0092306A" w14:paraId="1CAE1FA4" w14:textId="77777777">
            <w:pPr>
              <w:spacing w:after="0" w:line="240" w:lineRule="auto"/>
              <w:jc w:val="left"/>
              <w:rPr>
                <w:rFonts w:ascii="Arial" w:hAnsi="Arial" w:eastAsia="Times New Roman" w:cs="Arial"/>
                <w:b/>
                <w:bCs/>
                <w:color w:val="11151D"/>
                <w:sz w:val="20"/>
                <w:szCs w:val="20"/>
                <w:lang w:eastAsia="en-GB"/>
              </w:rPr>
            </w:pPr>
          </w:p>
        </w:tc>
        <w:tc>
          <w:tcPr>
            <w:tcW w:w="4820" w:type="dxa"/>
            <w:tcBorders>
              <w:top w:val="nil"/>
              <w:left w:val="single" w:color="FFFFFF" w:themeColor="background1" w:sz="8" w:space="0"/>
              <w:bottom w:val="single" w:color="FFFFFF" w:themeColor="background1" w:sz="8" w:space="0"/>
              <w:right w:val="nil" w:color="FFFFFF" w:themeColor="background1" w:sz="4" w:space="0"/>
            </w:tcBorders>
            <w:shd w:val="clear" w:color="auto" w:fill="E7EAF1"/>
            <w:tcMar/>
            <w:vAlign w:val="center"/>
          </w:tcPr>
          <w:p w:rsidRPr="0051688A" w:rsidR="0092306A" w:rsidP="00773D90" w:rsidRDefault="0092306A" w14:paraId="5F008BB3" w14:textId="2A1B672C">
            <w:pPr>
              <w:spacing w:after="0" w:line="240" w:lineRule="auto"/>
              <w:jc w:val="left"/>
              <w:rPr>
                <w:rFonts w:ascii="Arial" w:hAnsi="Arial" w:eastAsia="Times New Roman" w:cs="Arial"/>
                <w:bCs/>
                <w:color w:val="11151D"/>
                <w:sz w:val="20"/>
                <w:szCs w:val="20"/>
                <w:lang w:eastAsia="en-GB"/>
              </w:rPr>
            </w:pPr>
            <w:r w:rsidRPr="0051688A">
              <w:rPr>
                <w:rFonts w:ascii="Arial" w:hAnsi="Arial" w:eastAsia="Times New Roman" w:cs="Arial"/>
                <w:bCs/>
                <w:color w:val="11151D"/>
                <w:sz w:val="20"/>
                <w:szCs w:val="20"/>
                <w:lang w:eastAsia="en-GB"/>
              </w:rPr>
              <w:t>TPT Committee performs an initial pre</w:t>
            </w:r>
            <w:r w:rsidR="00DE3C67">
              <w:rPr>
                <w:rFonts w:ascii="Arial" w:hAnsi="Arial" w:eastAsia="Times New Roman" w:cs="Arial"/>
                <w:bCs/>
                <w:color w:val="11151D"/>
                <w:sz w:val="20"/>
                <w:szCs w:val="20"/>
                <w:lang w:eastAsia="en-GB"/>
              </w:rPr>
              <w:t>-</w:t>
            </w:r>
            <w:r w:rsidRPr="0051688A">
              <w:rPr>
                <w:rFonts w:ascii="Arial" w:hAnsi="Arial" w:eastAsia="Times New Roman" w:cs="Arial"/>
                <w:bCs/>
                <w:color w:val="11151D"/>
                <w:sz w:val="20"/>
                <w:szCs w:val="20"/>
                <w:lang w:eastAsia="en-GB"/>
              </w:rPr>
              <w:t xml:space="preserve">selection of the </w:t>
            </w:r>
            <w:proofErr w:type="spellStart"/>
            <w:r>
              <w:rPr>
                <w:rFonts w:ascii="Arial" w:hAnsi="Arial" w:eastAsia="Times New Roman" w:cs="Arial"/>
                <w:bCs/>
                <w:color w:val="11151D"/>
                <w:sz w:val="20"/>
                <w:szCs w:val="20"/>
                <w:lang w:eastAsia="en-GB"/>
              </w:rPr>
              <w:t>EoIs</w:t>
            </w:r>
            <w:proofErr w:type="spellEnd"/>
            <w:r w:rsidRPr="0051688A">
              <w:rPr>
                <w:rFonts w:ascii="Arial" w:hAnsi="Arial" w:eastAsia="Times New Roman" w:cs="Arial"/>
                <w:bCs/>
                <w:color w:val="11151D"/>
                <w:sz w:val="20"/>
                <w:szCs w:val="20"/>
                <w:lang w:eastAsia="en-GB"/>
              </w:rPr>
              <w:t xml:space="preserve"> based on KEC’s recommendations</w:t>
            </w:r>
          </w:p>
        </w:tc>
        <w:tc>
          <w:tcPr>
            <w:tcW w:w="2126" w:type="dxa"/>
            <w:vMerge w:val="restart"/>
            <w:tcBorders>
              <w:top w:val="nil" w:color="FFFFFF" w:themeColor="background1" w:sz="4"/>
              <w:left w:val="nil" w:color="FFFFFF" w:themeColor="background1" w:sz="4"/>
              <w:bottom w:val="single" w:color="FFFFFF" w:themeColor="background1" w:sz="8"/>
              <w:right w:val="single" w:color="FFFFFF" w:themeColor="background1" w:sz="8" w:space="0"/>
            </w:tcBorders>
            <w:shd w:val="clear" w:color="auto" w:fill="E7EAF1"/>
            <w:tcMar/>
            <w:vAlign w:val="center"/>
          </w:tcPr>
          <w:p w:rsidRPr="00F54A4D" w:rsidR="0092306A" w:rsidP="001C73EF" w:rsidRDefault="005B11B8" w14:paraId="32FC49EA" w14:textId="441A4C4E">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8</w:t>
            </w:r>
            <w:r w:rsidR="0092306A">
              <w:rPr>
                <w:rFonts w:ascii="Arial" w:hAnsi="Arial" w:eastAsia="Times New Roman" w:cs="Arial"/>
                <w:color w:val="11151D"/>
                <w:sz w:val="20"/>
                <w:szCs w:val="20"/>
                <w:lang w:eastAsia="en-GB"/>
              </w:rPr>
              <w:t xml:space="preserve"> December 202</w:t>
            </w:r>
            <w:r w:rsidR="00E878AF">
              <w:rPr>
                <w:rFonts w:ascii="Arial" w:hAnsi="Arial" w:eastAsia="Times New Roman" w:cs="Arial"/>
                <w:color w:val="11151D"/>
                <w:sz w:val="20"/>
                <w:szCs w:val="20"/>
                <w:lang w:eastAsia="en-GB"/>
              </w:rPr>
              <w:t>3</w:t>
            </w:r>
            <w:r w:rsidR="0092306A">
              <w:rPr>
                <w:rFonts w:ascii="Arial" w:hAnsi="Arial" w:eastAsia="Times New Roman" w:cs="Arial"/>
                <w:color w:val="11151D"/>
                <w:sz w:val="20"/>
                <w:szCs w:val="20"/>
                <w:lang w:eastAsia="en-GB"/>
              </w:rPr>
              <w:t>*</w:t>
            </w:r>
          </w:p>
        </w:tc>
      </w:tr>
      <w:tr w:rsidRPr="00F54A4D" w:rsidR="0092306A" w:rsidTr="61C15CD2" w14:paraId="581A6702" w14:textId="77777777">
        <w:tc>
          <w:tcPr>
            <w:tcW w:w="2400" w:type="dxa"/>
            <w:vMerge w:val="restart"/>
            <w:tcBorders>
              <w:top w:val="nil"/>
              <w:left w:val="single" w:color="FFFFFF" w:themeColor="background1" w:sz="8" w:space="0"/>
              <w:right w:val="single" w:color="FFFFFF" w:themeColor="background1" w:sz="8" w:space="0"/>
            </w:tcBorders>
            <w:shd w:val="clear" w:color="auto" w:fill="E7EAF1"/>
            <w:tcMar/>
            <w:vAlign w:val="center"/>
          </w:tcPr>
          <w:p w:rsidRPr="0051688A" w:rsidR="0092306A" w:rsidP="00502858" w:rsidRDefault="0092306A" w14:paraId="5723C255" w14:textId="3341742A">
            <w:pPr>
              <w:spacing w:after="0" w:line="240" w:lineRule="auto"/>
              <w:jc w:val="left"/>
              <w:rPr>
                <w:rFonts w:ascii="Arial" w:hAnsi="Arial" w:eastAsia="Times New Roman" w:cs="Arial"/>
                <w:b/>
                <w:bCs/>
                <w:color w:val="11151D"/>
                <w:sz w:val="20"/>
                <w:szCs w:val="20"/>
                <w:lang w:eastAsia="en-GB"/>
              </w:rPr>
            </w:pPr>
            <w:proofErr w:type="spellStart"/>
            <w:r>
              <w:rPr>
                <w:rFonts w:ascii="Arial" w:hAnsi="Arial" w:eastAsia="Times New Roman" w:cs="Arial"/>
                <w:b/>
                <w:bCs/>
                <w:color w:val="11151D"/>
                <w:sz w:val="20"/>
                <w:szCs w:val="20"/>
                <w:lang w:eastAsia="en-GB"/>
              </w:rPr>
              <w:t>EoIs</w:t>
            </w:r>
            <w:proofErr w:type="spellEnd"/>
            <w:r w:rsidRPr="0051688A">
              <w:rPr>
                <w:rFonts w:ascii="Arial" w:hAnsi="Arial" w:eastAsia="Times New Roman" w:cs="Arial"/>
                <w:b/>
                <w:bCs/>
                <w:color w:val="11151D"/>
                <w:sz w:val="20"/>
                <w:szCs w:val="20"/>
                <w:lang w:eastAsia="en-GB"/>
              </w:rPr>
              <w:t xml:space="preserve"> </w:t>
            </w:r>
            <w:r>
              <w:rPr>
                <w:rFonts w:ascii="Arial" w:hAnsi="Arial" w:eastAsia="Times New Roman" w:cs="Arial"/>
                <w:b/>
                <w:bCs/>
                <w:color w:val="11151D"/>
                <w:sz w:val="20"/>
                <w:szCs w:val="20"/>
                <w:lang w:eastAsia="en-GB"/>
              </w:rPr>
              <w:t>approval</w:t>
            </w:r>
          </w:p>
        </w:tc>
        <w:tc>
          <w:tcPr>
            <w:tcW w:w="4820" w:type="dxa"/>
            <w:tcBorders>
              <w:top w:val="nil"/>
              <w:left w:val="single" w:color="FFFFFF" w:themeColor="background1" w:sz="8" w:space="0"/>
              <w:bottom w:val="single" w:color="FFFFFF" w:themeColor="background1" w:sz="8" w:space="0"/>
              <w:right w:val="nil" w:color="FFFFFF" w:themeColor="background1" w:sz="4" w:space="0"/>
            </w:tcBorders>
            <w:shd w:val="clear" w:color="auto" w:fill="E7EAF1"/>
            <w:tcMar/>
            <w:vAlign w:val="center"/>
            <w:hideMark/>
          </w:tcPr>
          <w:p w:rsidRPr="0051688A" w:rsidR="0092306A" w:rsidP="00773D90" w:rsidRDefault="0092306A" w14:paraId="11E32840" w14:textId="7851BD47">
            <w:pPr>
              <w:spacing w:after="0" w:line="240" w:lineRule="auto"/>
              <w:jc w:val="left"/>
              <w:rPr>
                <w:rFonts w:ascii="Arial" w:hAnsi="Arial" w:eastAsia="Times New Roman" w:cs="Arial"/>
                <w:color w:val="11151D"/>
                <w:sz w:val="20"/>
                <w:szCs w:val="20"/>
                <w:lang w:eastAsia="en-GB"/>
              </w:rPr>
            </w:pPr>
            <w:r>
              <w:rPr>
                <w:rFonts w:ascii="Arial" w:hAnsi="Arial" w:eastAsia="Times New Roman" w:cs="Arial"/>
                <w:bCs/>
                <w:color w:val="11151D"/>
                <w:sz w:val="20"/>
                <w:szCs w:val="20"/>
                <w:lang w:eastAsia="en-GB"/>
              </w:rPr>
              <w:t>TPT Committee assigns a</w:t>
            </w:r>
            <w:r w:rsidRPr="0051688A">
              <w:rPr>
                <w:rFonts w:ascii="Arial" w:hAnsi="Arial" w:eastAsia="Times New Roman" w:cs="Arial"/>
                <w:bCs/>
                <w:color w:val="11151D"/>
                <w:sz w:val="20"/>
                <w:szCs w:val="20"/>
                <w:lang w:eastAsia="en-GB"/>
              </w:rPr>
              <w:t>n NCC Champion</w:t>
            </w:r>
            <w:r w:rsidRPr="0051688A">
              <w:rPr>
                <w:rFonts w:ascii="Arial" w:hAnsi="Arial" w:eastAsia="Times New Roman" w:cs="Arial"/>
                <w:color w:val="11151D"/>
                <w:sz w:val="20"/>
                <w:szCs w:val="20"/>
                <w:lang w:eastAsia="en-GB"/>
              </w:rPr>
              <w:t xml:space="preserve"> </w:t>
            </w:r>
            <w:r>
              <w:rPr>
                <w:rFonts w:ascii="Arial" w:hAnsi="Arial" w:eastAsia="Times New Roman" w:cs="Arial"/>
                <w:color w:val="11151D"/>
                <w:sz w:val="20"/>
                <w:szCs w:val="20"/>
                <w:lang w:eastAsia="en-GB"/>
              </w:rPr>
              <w:t xml:space="preserve">to </w:t>
            </w:r>
            <w:r w:rsidRPr="0051688A">
              <w:rPr>
                <w:rFonts w:ascii="Arial" w:hAnsi="Arial" w:eastAsia="Times New Roman" w:cs="Arial"/>
                <w:color w:val="11151D"/>
                <w:sz w:val="20"/>
                <w:szCs w:val="20"/>
                <w:lang w:eastAsia="en-GB"/>
              </w:rPr>
              <w:t>each pre</w:t>
            </w:r>
            <w:r w:rsidR="00DE3C67">
              <w:rPr>
                <w:rFonts w:ascii="Arial" w:hAnsi="Arial" w:eastAsia="Times New Roman" w:cs="Arial"/>
                <w:color w:val="11151D"/>
                <w:sz w:val="20"/>
                <w:szCs w:val="20"/>
                <w:lang w:eastAsia="en-GB"/>
              </w:rPr>
              <w:t>-</w:t>
            </w:r>
            <w:r w:rsidRPr="0051688A">
              <w:rPr>
                <w:rFonts w:ascii="Arial" w:hAnsi="Arial" w:eastAsia="Times New Roman" w:cs="Arial"/>
                <w:color w:val="11151D"/>
                <w:sz w:val="20"/>
                <w:szCs w:val="20"/>
                <w:lang w:eastAsia="en-GB"/>
              </w:rPr>
              <w:t xml:space="preserve">selected </w:t>
            </w:r>
            <w:proofErr w:type="spellStart"/>
            <w:r>
              <w:rPr>
                <w:rFonts w:ascii="Arial" w:hAnsi="Arial" w:eastAsia="Times New Roman" w:cs="Arial"/>
                <w:color w:val="11151D"/>
                <w:sz w:val="20"/>
                <w:szCs w:val="20"/>
                <w:lang w:eastAsia="en-GB"/>
              </w:rPr>
              <w:t>Eo</w:t>
            </w:r>
            <w:r w:rsidR="00DE3C67">
              <w:rPr>
                <w:rFonts w:ascii="Arial" w:hAnsi="Arial" w:eastAsia="Times New Roman" w:cs="Arial"/>
                <w:color w:val="11151D"/>
                <w:sz w:val="20"/>
                <w:szCs w:val="20"/>
                <w:lang w:eastAsia="en-GB"/>
              </w:rPr>
              <w:t>I</w:t>
            </w:r>
            <w:proofErr w:type="spellEnd"/>
          </w:p>
        </w:tc>
        <w:tc>
          <w:tcPr>
            <w:tcW w:w="2126" w:type="dxa"/>
            <w:vMerge/>
            <w:tcBorders>
              <w:top w:val="nil" w:color="FFFFFF" w:themeColor="background1" w:sz="4"/>
              <w:left w:val="nil" w:color="FFFFFF" w:themeColor="background1" w:sz="4"/>
              <w:bottom w:val="single" w:color="FFFFFF" w:themeColor="background1" w:sz="8" w:space="0"/>
              <w:right w:val="single" w:color="FFFFFF" w:themeColor="background1" w:sz="8" w:space="0"/>
            </w:tcBorders>
            <w:tcMar/>
            <w:vAlign w:val="center"/>
          </w:tcPr>
          <w:p w:rsidRPr="00F54A4D" w:rsidR="0092306A" w:rsidP="001C73EF" w:rsidRDefault="0092306A" w14:paraId="528BCBE8" w14:textId="09EC10C3">
            <w:pPr>
              <w:spacing w:after="0" w:line="240" w:lineRule="auto"/>
              <w:jc w:val="center"/>
              <w:rPr>
                <w:rFonts w:ascii="Arial" w:hAnsi="Arial" w:eastAsia="Times New Roman" w:cs="Arial"/>
                <w:color w:val="11151D"/>
                <w:sz w:val="20"/>
                <w:szCs w:val="20"/>
                <w:lang w:eastAsia="en-GB"/>
              </w:rPr>
            </w:pPr>
          </w:p>
        </w:tc>
      </w:tr>
      <w:tr w:rsidRPr="00F54A4D" w:rsidR="00233AD4" w:rsidTr="61C15CD2" w14:paraId="4731D390" w14:textId="77777777">
        <w:trPr>
          <w:trHeight w:val="525"/>
        </w:trPr>
        <w:tc>
          <w:tcPr>
            <w:tcW w:w="2400" w:type="dxa"/>
            <w:vMerge/>
            <w:tcBorders/>
            <w:tcMar/>
          </w:tcPr>
          <w:p w:rsidRPr="0051688A" w:rsidR="00233AD4" w:rsidP="00BE73B1" w:rsidRDefault="00233AD4" w14:paraId="1632A3A5" w14:textId="77777777">
            <w:pPr>
              <w:spacing w:after="0" w:line="240" w:lineRule="auto"/>
              <w:jc w:val="left"/>
              <w:rPr>
                <w:rFonts w:ascii="Arial" w:hAnsi="Arial" w:eastAsia="Times New Roman" w:cs="Arial"/>
                <w:b/>
                <w:bCs/>
                <w:color w:val="11151D"/>
                <w:sz w:val="20"/>
                <w:szCs w:val="20"/>
                <w:lang w:eastAsia="en-GB"/>
              </w:rPr>
            </w:pPr>
          </w:p>
        </w:tc>
        <w:tc>
          <w:tcPr>
            <w:tcW w:w="4820" w:type="dxa"/>
            <w:tcBorders>
              <w:top w:val="nil"/>
              <w:left w:val="single" w:color="FFFFFF" w:themeColor="background1" w:sz="8" w:space="0"/>
              <w:bottom w:val="single" w:color="FFFFFF" w:themeColor="background1" w:sz="8" w:space="0"/>
              <w:right w:val="nil" w:color="FFFFFF" w:themeColor="background1" w:sz="4" w:space="0"/>
            </w:tcBorders>
            <w:shd w:val="clear" w:color="auto" w:fill="E7EAF1"/>
            <w:tcMar/>
            <w:vAlign w:val="center"/>
          </w:tcPr>
          <w:p w:rsidR="00233AD4" w:rsidP="004C5507" w:rsidRDefault="00FD4F59" w14:paraId="2FBCAE3C" w14:textId="23645BF2">
            <w:pPr>
              <w:spacing w:after="0" w:line="240" w:lineRule="auto"/>
              <w:jc w:val="left"/>
              <w:rPr>
                <w:rFonts w:ascii="Arial" w:hAnsi="Arial" w:eastAsia="Times New Roman" w:cs="Arial"/>
                <w:bCs/>
                <w:color w:val="11151D"/>
                <w:sz w:val="20"/>
                <w:szCs w:val="20"/>
                <w:lang w:eastAsia="en-GB"/>
              </w:rPr>
            </w:pPr>
            <w:r>
              <w:rPr>
                <w:rFonts w:ascii="Arial" w:hAnsi="Arial" w:eastAsia="Times New Roman" w:cs="Arial"/>
                <w:bCs/>
                <w:color w:val="11151D"/>
                <w:sz w:val="20"/>
                <w:szCs w:val="20"/>
                <w:lang w:eastAsia="en-GB"/>
              </w:rPr>
              <w:t>Approved</w:t>
            </w:r>
            <w:r w:rsidR="00233AD4">
              <w:rPr>
                <w:rFonts w:ascii="Arial" w:hAnsi="Arial" w:eastAsia="Times New Roman" w:cs="Arial"/>
                <w:bCs/>
                <w:color w:val="11151D"/>
                <w:sz w:val="20"/>
                <w:szCs w:val="20"/>
                <w:lang w:eastAsia="en-GB"/>
              </w:rPr>
              <w:t xml:space="preserve"> </w:t>
            </w:r>
            <w:proofErr w:type="spellStart"/>
            <w:r w:rsidR="002753A9">
              <w:rPr>
                <w:rFonts w:ascii="Arial" w:hAnsi="Arial" w:eastAsia="Times New Roman" w:cs="Arial"/>
                <w:bCs/>
                <w:color w:val="11151D"/>
                <w:sz w:val="20"/>
                <w:szCs w:val="20"/>
                <w:lang w:eastAsia="en-GB"/>
              </w:rPr>
              <w:t>EoIs</w:t>
            </w:r>
            <w:proofErr w:type="spellEnd"/>
            <w:r w:rsidR="00233AD4">
              <w:rPr>
                <w:rFonts w:ascii="Arial" w:hAnsi="Arial" w:eastAsia="Times New Roman" w:cs="Arial"/>
                <w:bCs/>
                <w:color w:val="11151D"/>
                <w:sz w:val="20"/>
                <w:szCs w:val="20"/>
                <w:lang w:eastAsia="en-GB"/>
              </w:rPr>
              <w:t xml:space="preserve"> are invited to submit a Stage 2 proposal</w:t>
            </w:r>
          </w:p>
        </w:tc>
        <w:tc>
          <w:tcPr>
            <w:tcW w:w="2126" w:type="dxa"/>
            <w:vMerge/>
            <w:tcBorders>
              <w:top w:val="nil" w:color="FFFFFF" w:themeColor="background1" w:sz="4"/>
              <w:left w:val="nil" w:color="FFFFFF" w:themeColor="background1" w:sz="4"/>
              <w:bottom w:val="single" w:color="FFFFFF" w:themeColor="background1" w:sz="8" w:space="0"/>
              <w:right w:val="single" w:color="FFFFFF" w:themeColor="background1" w:sz="8" w:space="0"/>
            </w:tcBorders>
            <w:shd w:val="clear" w:color="auto" w:fill="E7EAF1"/>
            <w:tcMar/>
            <w:vAlign w:val="center"/>
          </w:tcPr>
          <w:p w:rsidR="00233AD4" w:rsidP="00EE64FA" w:rsidRDefault="005B11B8" w14:paraId="7474FD99" w14:textId="2FD38BA8">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8</w:t>
            </w:r>
            <w:r w:rsidR="0001244A">
              <w:rPr>
                <w:rFonts w:ascii="Arial" w:hAnsi="Arial" w:eastAsia="Times New Roman" w:cs="Arial"/>
                <w:color w:val="11151D"/>
                <w:sz w:val="20"/>
                <w:szCs w:val="20"/>
                <w:lang w:eastAsia="en-GB"/>
              </w:rPr>
              <w:t xml:space="preserve"> December 202</w:t>
            </w:r>
            <w:r w:rsidR="00E878AF">
              <w:rPr>
                <w:rFonts w:ascii="Arial" w:hAnsi="Arial" w:eastAsia="Times New Roman" w:cs="Arial"/>
                <w:color w:val="11151D"/>
                <w:sz w:val="20"/>
                <w:szCs w:val="20"/>
                <w:lang w:eastAsia="en-GB"/>
              </w:rPr>
              <w:t>3</w:t>
            </w:r>
            <w:r w:rsidR="009B2B2E">
              <w:rPr>
                <w:rFonts w:ascii="Arial" w:hAnsi="Arial" w:eastAsia="Times New Roman" w:cs="Arial"/>
                <w:color w:val="11151D"/>
                <w:sz w:val="20"/>
                <w:szCs w:val="20"/>
                <w:lang w:eastAsia="en-GB"/>
              </w:rPr>
              <w:t>*</w:t>
            </w:r>
          </w:p>
        </w:tc>
      </w:tr>
      <w:tr w:rsidRPr="00F54A4D" w:rsidR="00773D90" w:rsidTr="61C15CD2" w14:paraId="2EABCC65" w14:textId="77777777">
        <w:trPr>
          <w:trHeight w:val="259"/>
        </w:trPr>
        <w:tc>
          <w:tcPr>
            <w:tcW w:w="9346" w:type="dxa"/>
            <w:gridSpan w:val="3"/>
            <w:tcBorders>
              <w:top w:val="nil"/>
              <w:left w:val="single" w:color="FFFFFF" w:themeColor="background1" w:sz="8" w:space="0"/>
              <w:bottom w:val="single" w:color="FFFFFF" w:themeColor="background1" w:sz="8" w:space="0"/>
              <w:right w:val="single" w:color="FFFFFF" w:themeColor="background1" w:sz="8" w:space="0"/>
            </w:tcBorders>
            <w:shd w:val="clear" w:color="auto" w:fill="5B9BD5" w:themeFill="accent1"/>
            <w:tcMar/>
            <w:vAlign w:val="center"/>
          </w:tcPr>
          <w:p w:rsidRPr="003B778A" w:rsidR="00773D90" w:rsidP="00773D90" w:rsidRDefault="00773D90" w14:paraId="5D8E1440" w14:textId="77777777">
            <w:pPr>
              <w:spacing w:after="0" w:line="240" w:lineRule="auto"/>
              <w:jc w:val="left"/>
              <w:rPr>
                <w:rFonts w:ascii="Arial" w:hAnsi="Arial" w:eastAsia="Times New Roman" w:cs="Arial"/>
                <w:b/>
                <w:color w:val="11151D"/>
                <w:sz w:val="20"/>
                <w:szCs w:val="20"/>
                <w:lang w:eastAsia="en-GB"/>
              </w:rPr>
            </w:pPr>
            <w:r w:rsidRPr="003B778A">
              <w:rPr>
                <w:rFonts w:ascii="Arial" w:hAnsi="Arial" w:eastAsia="Times New Roman" w:cs="Arial"/>
                <w:b/>
                <w:color w:val="FFFFFF" w:themeColor="background1"/>
                <w:sz w:val="20"/>
                <w:szCs w:val="20"/>
                <w:lang w:eastAsia="en-GB"/>
              </w:rPr>
              <w:t>Stage 2</w:t>
            </w:r>
          </w:p>
        </w:tc>
      </w:tr>
      <w:tr w:rsidRPr="00F54A4D" w:rsidR="004C5507" w:rsidTr="61C15CD2" w14:paraId="34250B3C" w14:textId="77777777">
        <w:trPr>
          <w:trHeight w:val="525"/>
        </w:trPr>
        <w:tc>
          <w:tcPr>
            <w:tcW w:w="240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tcPr>
          <w:p w:rsidRPr="0051688A" w:rsidR="00BE73B1" w:rsidP="00502858" w:rsidRDefault="000A0BD1" w14:paraId="0FCCFCCF" w14:textId="0ACD9127">
            <w:pPr>
              <w:spacing w:after="0" w:line="240" w:lineRule="auto"/>
              <w:jc w:val="left"/>
              <w:rPr>
                <w:rFonts w:ascii="Arial" w:hAnsi="Arial" w:eastAsia="Times New Roman" w:cs="Arial"/>
                <w:b/>
                <w:bCs/>
                <w:color w:val="11151D"/>
                <w:sz w:val="20"/>
                <w:szCs w:val="20"/>
                <w:lang w:eastAsia="en-GB"/>
              </w:rPr>
            </w:pPr>
            <w:r>
              <w:rPr>
                <w:rFonts w:ascii="Arial" w:hAnsi="Arial" w:eastAsia="Times New Roman" w:cs="Arial"/>
                <w:b/>
                <w:bCs/>
                <w:color w:val="11151D"/>
                <w:sz w:val="20"/>
                <w:szCs w:val="20"/>
                <w:lang w:eastAsia="en-GB"/>
              </w:rPr>
              <w:t>P</w:t>
            </w:r>
            <w:r w:rsidRPr="0051688A" w:rsidR="004C5507">
              <w:rPr>
                <w:rFonts w:ascii="Arial" w:hAnsi="Arial" w:eastAsia="Times New Roman" w:cs="Arial"/>
                <w:b/>
                <w:bCs/>
                <w:color w:val="11151D"/>
                <w:sz w:val="20"/>
                <w:szCs w:val="20"/>
                <w:lang w:eastAsia="en-GB"/>
              </w:rPr>
              <w:t>roposals submission</w:t>
            </w:r>
          </w:p>
        </w:tc>
        <w:tc>
          <w:tcPr>
            <w:tcW w:w="482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hideMark/>
          </w:tcPr>
          <w:p w:rsidRPr="0051688A" w:rsidR="00BE73B1" w:rsidP="009B3B56" w:rsidRDefault="00773D90" w14:paraId="460B5AEE" w14:textId="78B43FAA">
            <w:pPr>
              <w:spacing w:after="0" w:line="240" w:lineRule="auto"/>
              <w:jc w:val="left"/>
              <w:rPr>
                <w:rFonts w:ascii="Arial" w:hAnsi="Arial" w:eastAsia="Times New Roman" w:cs="Arial"/>
                <w:bCs/>
                <w:color w:val="11151D"/>
                <w:sz w:val="20"/>
                <w:szCs w:val="20"/>
                <w:lang w:eastAsia="en-GB"/>
              </w:rPr>
            </w:pPr>
            <w:r>
              <w:rPr>
                <w:rFonts w:ascii="Arial" w:hAnsi="Arial" w:eastAsia="Times New Roman" w:cs="Arial"/>
                <w:bCs/>
                <w:color w:val="11151D"/>
                <w:sz w:val="20"/>
                <w:szCs w:val="20"/>
                <w:lang w:eastAsia="en-GB"/>
              </w:rPr>
              <w:t xml:space="preserve">APIs </w:t>
            </w:r>
            <w:r w:rsidR="009B3B56">
              <w:rPr>
                <w:rFonts w:ascii="Arial" w:hAnsi="Arial" w:eastAsia="Times New Roman" w:cs="Arial"/>
                <w:bCs/>
                <w:color w:val="11151D"/>
                <w:sz w:val="20"/>
                <w:szCs w:val="20"/>
                <w:lang w:eastAsia="en-GB"/>
              </w:rPr>
              <w:t xml:space="preserve">in conjunction with </w:t>
            </w:r>
            <w:r>
              <w:rPr>
                <w:rFonts w:ascii="Arial" w:hAnsi="Arial" w:eastAsia="Times New Roman" w:cs="Arial"/>
                <w:bCs/>
                <w:color w:val="11151D"/>
                <w:sz w:val="20"/>
                <w:szCs w:val="20"/>
                <w:lang w:eastAsia="en-GB"/>
              </w:rPr>
              <w:t>NCC Champion</w:t>
            </w:r>
            <w:r w:rsidR="006E5820">
              <w:rPr>
                <w:rFonts w:ascii="Arial" w:hAnsi="Arial" w:eastAsia="Times New Roman" w:cs="Arial"/>
                <w:bCs/>
                <w:color w:val="11151D"/>
                <w:sz w:val="20"/>
                <w:szCs w:val="20"/>
                <w:lang w:eastAsia="en-GB"/>
              </w:rPr>
              <w:t xml:space="preserve">s </w:t>
            </w:r>
            <w:r>
              <w:rPr>
                <w:rFonts w:ascii="Arial" w:hAnsi="Arial" w:eastAsia="Times New Roman" w:cs="Arial"/>
                <w:bCs/>
                <w:color w:val="11151D"/>
                <w:sz w:val="20"/>
                <w:szCs w:val="20"/>
                <w:lang w:eastAsia="en-GB"/>
              </w:rPr>
              <w:t>p</w:t>
            </w:r>
            <w:r w:rsidRPr="0051688A" w:rsidR="00BE73B1">
              <w:rPr>
                <w:rFonts w:ascii="Arial" w:hAnsi="Arial" w:eastAsia="Times New Roman" w:cs="Arial"/>
                <w:bCs/>
                <w:color w:val="11151D"/>
                <w:sz w:val="20"/>
                <w:szCs w:val="20"/>
                <w:lang w:eastAsia="en-GB"/>
              </w:rPr>
              <w:t>repar</w:t>
            </w:r>
            <w:r>
              <w:rPr>
                <w:rFonts w:ascii="Arial" w:hAnsi="Arial" w:eastAsia="Times New Roman" w:cs="Arial"/>
                <w:bCs/>
                <w:color w:val="11151D"/>
                <w:sz w:val="20"/>
                <w:szCs w:val="20"/>
                <w:lang w:eastAsia="en-GB"/>
              </w:rPr>
              <w:t xml:space="preserve">e </w:t>
            </w:r>
            <w:r w:rsidRPr="0051688A" w:rsidR="00BE73B1">
              <w:rPr>
                <w:rFonts w:ascii="Arial" w:hAnsi="Arial" w:eastAsia="Times New Roman" w:cs="Arial"/>
                <w:bCs/>
                <w:color w:val="11151D"/>
                <w:sz w:val="20"/>
                <w:szCs w:val="20"/>
                <w:lang w:eastAsia="en-GB"/>
              </w:rPr>
              <w:t>and submi</w:t>
            </w:r>
            <w:r>
              <w:rPr>
                <w:rFonts w:ascii="Arial" w:hAnsi="Arial" w:eastAsia="Times New Roman" w:cs="Arial"/>
                <w:bCs/>
                <w:color w:val="11151D"/>
                <w:sz w:val="20"/>
                <w:szCs w:val="20"/>
                <w:lang w:eastAsia="en-GB"/>
              </w:rPr>
              <w:t>t</w:t>
            </w:r>
            <w:r w:rsidRPr="0051688A" w:rsidR="00BE73B1">
              <w:rPr>
                <w:rFonts w:ascii="Arial" w:hAnsi="Arial" w:eastAsia="Times New Roman" w:cs="Arial"/>
                <w:bCs/>
                <w:color w:val="11151D"/>
                <w:sz w:val="20"/>
                <w:szCs w:val="20"/>
                <w:lang w:eastAsia="en-GB"/>
              </w:rPr>
              <w:t xml:space="preserve"> </w:t>
            </w:r>
            <w:r w:rsidR="002753A9">
              <w:rPr>
                <w:rFonts w:ascii="Arial" w:hAnsi="Arial" w:eastAsia="Times New Roman" w:cs="Arial"/>
                <w:bCs/>
                <w:color w:val="11151D"/>
                <w:sz w:val="20"/>
                <w:szCs w:val="20"/>
                <w:lang w:eastAsia="en-GB"/>
              </w:rPr>
              <w:t>full</w:t>
            </w:r>
            <w:r w:rsidRPr="0051688A" w:rsidR="00BE73B1">
              <w:rPr>
                <w:rFonts w:ascii="Arial" w:hAnsi="Arial" w:eastAsia="Times New Roman" w:cs="Arial"/>
                <w:bCs/>
                <w:color w:val="11151D"/>
                <w:sz w:val="20"/>
                <w:szCs w:val="20"/>
                <w:lang w:eastAsia="en-GB"/>
              </w:rPr>
              <w:t xml:space="preserve"> proposal</w:t>
            </w:r>
            <w:r w:rsidR="002D4BB7">
              <w:rPr>
                <w:rFonts w:ascii="Arial" w:hAnsi="Arial" w:eastAsia="Times New Roman" w:cs="Arial"/>
                <w:bCs/>
                <w:color w:val="11151D"/>
                <w:sz w:val="20"/>
                <w:szCs w:val="20"/>
                <w:lang w:eastAsia="en-GB"/>
              </w:rPr>
              <w:t xml:space="preserve">s to </w:t>
            </w:r>
            <w:r>
              <w:rPr>
                <w:rFonts w:ascii="Arial" w:hAnsi="Arial" w:eastAsia="Times New Roman" w:cs="Arial"/>
                <w:bCs/>
                <w:color w:val="11151D"/>
                <w:sz w:val="20"/>
                <w:szCs w:val="20"/>
                <w:lang w:eastAsia="en-GB"/>
              </w:rPr>
              <w:t>TPT Committee</w:t>
            </w: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BE73B1" w:rsidP="00EE64FA" w:rsidRDefault="005B11B8" w14:paraId="3CAC2C1C" w14:textId="0B129F47">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2</w:t>
            </w:r>
            <w:r w:rsidR="00525D88">
              <w:rPr>
                <w:rFonts w:ascii="Arial" w:hAnsi="Arial" w:eastAsia="Times New Roman" w:cs="Arial"/>
                <w:color w:val="11151D"/>
                <w:sz w:val="20"/>
                <w:szCs w:val="20"/>
                <w:lang w:eastAsia="en-GB"/>
              </w:rPr>
              <w:t xml:space="preserve"> </w:t>
            </w:r>
            <w:r w:rsidR="00726E90">
              <w:rPr>
                <w:rFonts w:ascii="Arial" w:hAnsi="Arial" w:eastAsia="Times New Roman" w:cs="Arial"/>
                <w:color w:val="11151D"/>
                <w:sz w:val="20"/>
                <w:szCs w:val="20"/>
                <w:lang w:eastAsia="en-GB"/>
              </w:rPr>
              <w:t xml:space="preserve">February </w:t>
            </w:r>
            <w:r w:rsidR="00A54E86">
              <w:rPr>
                <w:rFonts w:ascii="Arial" w:hAnsi="Arial" w:eastAsia="Times New Roman" w:cs="Arial"/>
                <w:color w:val="11151D"/>
                <w:sz w:val="20"/>
                <w:szCs w:val="20"/>
                <w:lang w:eastAsia="en-GB"/>
              </w:rPr>
              <w:t>202</w:t>
            </w:r>
            <w:r w:rsidR="00E878AF">
              <w:rPr>
                <w:rFonts w:ascii="Arial" w:hAnsi="Arial" w:eastAsia="Times New Roman" w:cs="Arial"/>
                <w:color w:val="11151D"/>
                <w:sz w:val="20"/>
                <w:szCs w:val="20"/>
                <w:lang w:eastAsia="en-GB"/>
              </w:rPr>
              <w:t>4</w:t>
            </w:r>
            <w:r w:rsidR="009B2B2E">
              <w:rPr>
                <w:rFonts w:ascii="Arial" w:hAnsi="Arial" w:eastAsia="Times New Roman" w:cs="Arial"/>
                <w:color w:val="11151D"/>
                <w:sz w:val="20"/>
                <w:szCs w:val="20"/>
                <w:lang w:eastAsia="en-GB"/>
              </w:rPr>
              <w:t>*</w:t>
            </w:r>
          </w:p>
        </w:tc>
      </w:tr>
      <w:tr w:rsidRPr="00F54A4D" w:rsidR="004C5507" w:rsidTr="61C15CD2" w14:paraId="7FAD3B03" w14:textId="77777777">
        <w:trPr>
          <w:trHeight w:val="315"/>
        </w:trPr>
        <w:tc>
          <w:tcPr>
            <w:tcW w:w="240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tcPr>
          <w:p w:rsidRPr="0051688A" w:rsidR="00BE73B1" w:rsidP="00502858" w:rsidRDefault="000A0BD1" w14:paraId="0C2CC734" w14:textId="2D33B99B">
            <w:pPr>
              <w:spacing w:after="0" w:line="240" w:lineRule="auto"/>
              <w:jc w:val="left"/>
              <w:rPr>
                <w:rFonts w:ascii="Arial" w:hAnsi="Arial" w:eastAsia="Times New Roman" w:cs="Arial"/>
                <w:b/>
                <w:color w:val="11151D"/>
                <w:sz w:val="20"/>
                <w:szCs w:val="20"/>
                <w:lang w:eastAsia="en-GB"/>
              </w:rPr>
            </w:pPr>
            <w:r>
              <w:rPr>
                <w:rFonts w:ascii="Arial" w:hAnsi="Arial" w:eastAsia="Times New Roman" w:cs="Arial"/>
                <w:b/>
                <w:bCs/>
                <w:color w:val="11151D"/>
                <w:sz w:val="20"/>
                <w:szCs w:val="20"/>
                <w:lang w:eastAsia="en-GB"/>
              </w:rPr>
              <w:t>P</w:t>
            </w:r>
            <w:r w:rsidRPr="0051688A" w:rsidR="00233AD4">
              <w:rPr>
                <w:rFonts w:ascii="Arial" w:hAnsi="Arial" w:eastAsia="Times New Roman" w:cs="Arial"/>
                <w:b/>
                <w:bCs/>
                <w:color w:val="11151D"/>
                <w:sz w:val="20"/>
                <w:szCs w:val="20"/>
                <w:lang w:eastAsia="en-GB"/>
              </w:rPr>
              <w:t xml:space="preserve">roposals </w:t>
            </w:r>
            <w:r w:rsidR="00233AD4">
              <w:rPr>
                <w:rFonts w:ascii="Arial" w:hAnsi="Arial" w:eastAsia="Times New Roman" w:cs="Arial"/>
                <w:b/>
                <w:bCs/>
                <w:color w:val="11151D"/>
                <w:sz w:val="20"/>
                <w:szCs w:val="20"/>
                <w:lang w:eastAsia="en-GB"/>
              </w:rPr>
              <w:t>selection</w:t>
            </w:r>
          </w:p>
        </w:tc>
        <w:tc>
          <w:tcPr>
            <w:tcW w:w="4820" w:type="dxa"/>
            <w:tcBorders>
              <w:top w:val="nil"/>
              <w:left w:val="single" w:color="FFFFFF" w:themeColor="background1" w:sz="8" w:space="0"/>
              <w:bottom w:val="single" w:color="FFFFFF" w:themeColor="background1" w:sz="8" w:space="0"/>
              <w:right w:val="single" w:color="FFFFFF" w:themeColor="background1" w:sz="8" w:space="0"/>
            </w:tcBorders>
            <w:shd w:val="clear" w:color="auto" w:fill="E7EAF1"/>
            <w:tcMar/>
            <w:vAlign w:val="center"/>
            <w:hideMark/>
          </w:tcPr>
          <w:p w:rsidRPr="0051688A" w:rsidR="00BE73B1" w:rsidP="00A12C47" w:rsidRDefault="00A12C47" w14:paraId="2CE2D788" w14:textId="7938ABE3">
            <w:pPr>
              <w:spacing w:after="0" w:line="240" w:lineRule="auto"/>
              <w:jc w:val="left"/>
              <w:rPr>
                <w:rFonts w:ascii="Arial" w:hAnsi="Arial" w:eastAsia="Times New Roman" w:cs="Arial"/>
                <w:color w:val="11151D"/>
                <w:sz w:val="20"/>
                <w:szCs w:val="20"/>
                <w:lang w:eastAsia="en-GB"/>
              </w:rPr>
            </w:pPr>
            <w:r w:rsidRPr="0051688A">
              <w:rPr>
                <w:rFonts w:ascii="Arial" w:hAnsi="Arial" w:eastAsia="Times New Roman" w:cs="Arial"/>
                <w:bCs/>
                <w:color w:val="11151D"/>
                <w:sz w:val="20"/>
                <w:szCs w:val="20"/>
                <w:lang w:eastAsia="en-GB"/>
              </w:rPr>
              <w:t xml:space="preserve">TPT Committee </w:t>
            </w:r>
            <w:r>
              <w:rPr>
                <w:rFonts w:ascii="Arial" w:hAnsi="Arial" w:eastAsia="Times New Roman" w:cs="Arial"/>
                <w:bCs/>
                <w:color w:val="11151D"/>
                <w:sz w:val="20"/>
                <w:szCs w:val="20"/>
                <w:lang w:eastAsia="en-GB"/>
              </w:rPr>
              <w:t>performs a final</w:t>
            </w:r>
            <w:r w:rsidR="002D4BB7">
              <w:rPr>
                <w:rFonts w:ascii="Arial" w:hAnsi="Arial" w:eastAsia="Times New Roman" w:cs="Arial"/>
                <w:bCs/>
                <w:color w:val="11151D"/>
                <w:sz w:val="20"/>
                <w:szCs w:val="20"/>
                <w:lang w:eastAsia="en-GB"/>
              </w:rPr>
              <w:t xml:space="preserve"> selection of </w:t>
            </w:r>
            <w:r w:rsidR="002753A9">
              <w:rPr>
                <w:rFonts w:ascii="Arial" w:hAnsi="Arial" w:eastAsia="Times New Roman" w:cs="Arial"/>
                <w:bCs/>
                <w:color w:val="11151D"/>
                <w:sz w:val="20"/>
                <w:szCs w:val="20"/>
                <w:lang w:eastAsia="en-GB"/>
              </w:rPr>
              <w:t>full</w:t>
            </w:r>
            <w:r>
              <w:rPr>
                <w:rFonts w:ascii="Arial" w:hAnsi="Arial" w:eastAsia="Times New Roman" w:cs="Arial"/>
                <w:bCs/>
                <w:color w:val="11151D"/>
                <w:sz w:val="20"/>
                <w:szCs w:val="20"/>
                <w:lang w:eastAsia="en-GB"/>
              </w:rPr>
              <w:t xml:space="preserve"> proposals</w:t>
            </w:r>
            <w:r w:rsidR="002D4BB7">
              <w:rPr>
                <w:rFonts w:ascii="Arial" w:hAnsi="Arial" w:eastAsia="Times New Roman" w:cs="Arial"/>
                <w:bCs/>
                <w:color w:val="11151D"/>
                <w:sz w:val="20"/>
                <w:szCs w:val="20"/>
                <w:lang w:eastAsia="en-GB"/>
              </w:rPr>
              <w:t xml:space="preserve"> identifying </w:t>
            </w:r>
            <w:r w:rsidR="002753A9">
              <w:rPr>
                <w:rFonts w:ascii="Arial" w:hAnsi="Arial" w:eastAsia="Times New Roman" w:cs="Arial"/>
                <w:bCs/>
                <w:color w:val="11151D"/>
                <w:sz w:val="20"/>
                <w:szCs w:val="20"/>
                <w:lang w:eastAsia="en-GB"/>
              </w:rPr>
              <w:t>those</w:t>
            </w:r>
            <w:r w:rsidR="002D4BB7">
              <w:rPr>
                <w:rFonts w:ascii="Arial" w:hAnsi="Arial" w:eastAsia="Times New Roman" w:cs="Arial"/>
                <w:bCs/>
                <w:color w:val="11151D"/>
                <w:sz w:val="20"/>
                <w:szCs w:val="20"/>
                <w:lang w:eastAsia="en-GB"/>
              </w:rPr>
              <w:t xml:space="preserve"> to be funded</w:t>
            </w: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BE73B1" w:rsidP="00EE64FA" w:rsidRDefault="00E54235" w14:paraId="15733461" w14:textId="546108D6">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1 March</w:t>
            </w:r>
            <w:r w:rsidR="00525D88">
              <w:rPr>
                <w:rFonts w:ascii="Arial" w:hAnsi="Arial" w:eastAsia="Times New Roman" w:cs="Arial"/>
                <w:color w:val="11151D"/>
                <w:sz w:val="20"/>
                <w:szCs w:val="20"/>
                <w:lang w:eastAsia="en-GB"/>
              </w:rPr>
              <w:t xml:space="preserve"> </w:t>
            </w:r>
            <w:r w:rsidR="00A54E86">
              <w:rPr>
                <w:rFonts w:ascii="Arial" w:hAnsi="Arial" w:eastAsia="Times New Roman" w:cs="Arial"/>
                <w:color w:val="11151D"/>
                <w:sz w:val="20"/>
                <w:szCs w:val="20"/>
                <w:lang w:eastAsia="en-GB"/>
              </w:rPr>
              <w:t>202</w:t>
            </w:r>
            <w:r w:rsidR="00E878AF">
              <w:rPr>
                <w:rFonts w:ascii="Arial" w:hAnsi="Arial" w:eastAsia="Times New Roman" w:cs="Arial"/>
                <w:color w:val="11151D"/>
                <w:sz w:val="20"/>
                <w:szCs w:val="20"/>
                <w:lang w:eastAsia="en-GB"/>
              </w:rPr>
              <w:t>4</w:t>
            </w:r>
            <w:r w:rsidR="009B2B2E">
              <w:rPr>
                <w:rFonts w:ascii="Arial" w:hAnsi="Arial" w:eastAsia="Times New Roman" w:cs="Arial"/>
                <w:color w:val="11151D"/>
                <w:sz w:val="20"/>
                <w:szCs w:val="20"/>
                <w:lang w:eastAsia="en-GB"/>
              </w:rPr>
              <w:t>*</w:t>
            </w:r>
          </w:p>
        </w:tc>
      </w:tr>
      <w:tr w:rsidRPr="00F54A4D" w:rsidR="0011702E" w:rsidTr="61C15CD2" w14:paraId="24035983" w14:textId="77777777">
        <w:trPr>
          <w:trHeight w:val="382"/>
        </w:trPr>
        <w:tc>
          <w:tcPr>
            <w:tcW w:w="2400" w:type="dxa"/>
            <w:tcBorders>
              <w:top w:val="nil"/>
              <w:left w:val="single" w:color="FFFFFF" w:themeColor="background1" w:sz="8" w:space="0"/>
              <w:bottom w:val="nil"/>
              <w:right w:val="single" w:color="FFFFFF" w:themeColor="background1" w:sz="8" w:space="0"/>
            </w:tcBorders>
            <w:shd w:val="clear" w:color="auto" w:fill="E7EAF1"/>
            <w:tcMar/>
            <w:vAlign w:val="center"/>
          </w:tcPr>
          <w:p w:rsidRPr="0051688A" w:rsidR="0011702E" w:rsidP="0011702E" w:rsidRDefault="00516B27" w14:paraId="33BDD0C3" w14:textId="72931741">
            <w:pPr>
              <w:spacing w:after="0" w:line="240" w:lineRule="auto"/>
              <w:jc w:val="left"/>
              <w:rPr>
                <w:rFonts w:ascii="Arial" w:hAnsi="Arial" w:eastAsia="Times New Roman" w:cs="Arial"/>
                <w:b/>
                <w:bCs/>
                <w:color w:val="11151D"/>
                <w:sz w:val="20"/>
                <w:szCs w:val="20"/>
                <w:lang w:eastAsia="en-GB"/>
              </w:rPr>
            </w:pPr>
            <w:r>
              <w:rPr>
                <w:rFonts w:ascii="Arial" w:hAnsi="Arial" w:eastAsia="Times New Roman" w:cs="Arial"/>
                <w:b/>
                <w:bCs/>
                <w:color w:val="11151D"/>
                <w:sz w:val="20"/>
                <w:szCs w:val="20"/>
                <w:lang w:eastAsia="en-GB"/>
              </w:rPr>
              <w:t>Programme</w:t>
            </w:r>
            <w:r w:rsidR="0011702E">
              <w:rPr>
                <w:rFonts w:ascii="Arial" w:hAnsi="Arial" w:eastAsia="Times New Roman" w:cs="Arial"/>
                <w:b/>
                <w:bCs/>
                <w:color w:val="11151D"/>
                <w:sz w:val="20"/>
                <w:szCs w:val="20"/>
                <w:lang w:eastAsia="en-GB"/>
              </w:rPr>
              <w:t xml:space="preserve"> kick-off</w:t>
            </w:r>
          </w:p>
        </w:tc>
        <w:tc>
          <w:tcPr>
            <w:tcW w:w="4820" w:type="dxa"/>
            <w:tcBorders>
              <w:top w:val="nil"/>
              <w:left w:val="single" w:color="FFFFFF" w:themeColor="background1" w:sz="8" w:space="0"/>
              <w:bottom w:val="nil"/>
              <w:right w:val="single" w:color="FFFFFF" w:themeColor="background1" w:sz="8" w:space="0"/>
            </w:tcBorders>
            <w:shd w:val="clear" w:color="auto" w:fill="E7EAF1"/>
            <w:tcMar/>
            <w:vAlign w:val="center"/>
            <w:hideMark/>
          </w:tcPr>
          <w:p w:rsidRPr="0051688A" w:rsidR="0011702E" w:rsidP="0011702E" w:rsidRDefault="0011702E" w14:paraId="13FE8742" w14:textId="44D262ED">
            <w:pPr>
              <w:spacing w:after="0" w:line="240" w:lineRule="auto"/>
              <w:jc w:val="left"/>
              <w:rPr>
                <w:rFonts w:ascii="Arial" w:hAnsi="Arial" w:eastAsia="Times New Roman" w:cs="Arial"/>
                <w:bCs/>
                <w:color w:val="11151D"/>
                <w:sz w:val="20"/>
                <w:szCs w:val="20"/>
                <w:lang w:eastAsia="en-GB"/>
              </w:rPr>
            </w:pPr>
            <w:r>
              <w:rPr>
                <w:rFonts w:ascii="Arial" w:hAnsi="Arial" w:eastAsia="Times New Roman" w:cs="Arial"/>
                <w:bCs/>
                <w:color w:val="11151D"/>
                <w:sz w:val="20"/>
                <w:szCs w:val="20"/>
                <w:lang w:eastAsia="en-GB"/>
              </w:rPr>
              <w:t xml:space="preserve">TPT Projects </w:t>
            </w:r>
            <w:r w:rsidR="00516B27">
              <w:rPr>
                <w:rFonts w:ascii="Arial" w:hAnsi="Arial" w:eastAsia="Times New Roman" w:cs="Arial"/>
                <w:bCs/>
                <w:color w:val="11151D"/>
                <w:sz w:val="20"/>
                <w:szCs w:val="20"/>
                <w:lang w:eastAsia="en-GB"/>
              </w:rPr>
              <w:t>begin</w:t>
            </w: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hideMark/>
          </w:tcPr>
          <w:p w:rsidRPr="00F54A4D" w:rsidR="0011702E" w:rsidP="0011702E" w:rsidRDefault="00516B27" w14:paraId="2697AE38" w14:textId="32B4A009">
            <w:pPr>
              <w:spacing w:after="0" w:line="240" w:lineRule="auto"/>
              <w:jc w:val="center"/>
              <w:rPr>
                <w:rFonts w:ascii="Arial" w:hAnsi="Arial" w:eastAsia="Times New Roman" w:cs="Arial"/>
                <w:color w:val="11151D"/>
                <w:sz w:val="20"/>
                <w:szCs w:val="20"/>
                <w:lang w:eastAsia="en-GB"/>
              </w:rPr>
            </w:pPr>
            <w:r>
              <w:rPr>
                <w:rFonts w:ascii="Arial" w:hAnsi="Arial" w:eastAsia="Times New Roman" w:cs="Arial"/>
                <w:color w:val="11151D"/>
                <w:sz w:val="20"/>
                <w:szCs w:val="20"/>
                <w:lang w:eastAsia="en-GB"/>
              </w:rPr>
              <w:t xml:space="preserve">1 </w:t>
            </w:r>
            <w:r w:rsidR="00942C0F">
              <w:rPr>
                <w:rFonts w:ascii="Arial" w:hAnsi="Arial" w:eastAsia="Times New Roman" w:cs="Arial"/>
                <w:color w:val="11151D"/>
                <w:sz w:val="20"/>
                <w:szCs w:val="20"/>
                <w:lang w:eastAsia="en-GB"/>
              </w:rPr>
              <w:t>April 202</w:t>
            </w:r>
            <w:r w:rsidR="00E43C20">
              <w:rPr>
                <w:rFonts w:ascii="Arial" w:hAnsi="Arial" w:eastAsia="Times New Roman" w:cs="Arial"/>
                <w:color w:val="11151D"/>
                <w:sz w:val="20"/>
                <w:szCs w:val="20"/>
                <w:lang w:eastAsia="en-GB"/>
              </w:rPr>
              <w:t>4</w:t>
            </w:r>
          </w:p>
        </w:tc>
      </w:tr>
      <w:tr w:rsidRPr="00F54A4D" w:rsidR="0011702E" w:rsidTr="61C15CD2" w14:paraId="2479D214" w14:textId="77777777">
        <w:trPr>
          <w:trHeight w:val="382"/>
        </w:trPr>
        <w:tc>
          <w:tcPr>
            <w:tcW w:w="2400" w:type="dxa"/>
            <w:tcBorders>
              <w:top w:val="nil"/>
              <w:left w:val="single" w:color="FFFFFF" w:themeColor="background1" w:sz="8" w:space="0"/>
              <w:bottom w:val="single" w:color="FFFFFF" w:themeColor="background1" w:sz="8" w:space="0"/>
              <w:right w:val="single" w:color="FFFFFF" w:themeColor="background1" w:sz="8" w:space="0"/>
            </w:tcBorders>
            <w:shd w:val="clear" w:color="auto" w:fill="auto"/>
            <w:tcMar/>
            <w:vAlign w:val="center"/>
          </w:tcPr>
          <w:p w:rsidR="0011702E" w:rsidP="00502858" w:rsidRDefault="0011702E" w14:paraId="5A26A79F" w14:textId="77777777">
            <w:pPr>
              <w:spacing w:after="0" w:line="240" w:lineRule="auto"/>
              <w:jc w:val="left"/>
              <w:rPr>
                <w:rFonts w:ascii="Arial" w:hAnsi="Arial" w:eastAsia="Times New Roman" w:cs="Arial"/>
                <w:b/>
                <w:bCs/>
                <w:color w:val="11151D"/>
                <w:sz w:val="20"/>
                <w:szCs w:val="20"/>
                <w:lang w:eastAsia="en-GB"/>
              </w:rPr>
            </w:pPr>
          </w:p>
        </w:tc>
        <w:tc>
          <w:tcPr>
            <w:tcW w:w="4820" w:type="dxa"/>
            <w:tcBorders>
              <w:top w:val="nil"/>
              <w:left w:val="single" w:color="FFFFFF" w:themeColor="background1" w:sz="8" w:space="0"/>
              <w:bottom w:val="single" w:color="FFFFFF" w:themeColor="background1" w:sz="8" w:space="0"/>
              <w:right w:val="single" w:color="FFFFFF" w:themeColor="background1" w:sz="8" w:space="0"/>
            </w:tcBorders>
            <w:shd w:val="clear" w:color="auto" w:fill="auto"/>
            <w:tcMar/>
            <w:vAlign w:val="center"/>
          </w:tcPr>
          <w:p w:rsidR="0011702E" w:rsidP="00233AD4" w:rsidRDefault="0011702E" w14:paraId="17F964BE" w14:textId="77777777">
            <w:pPr>
              <w:spacing w:after="0" w:line="240" w:lineRule="auto"/>
              <w:jc w:val="left"/>
              <w:rPr>
                <w:rFonts w:ascii="Arial" w:hAnsi="Arial" w:eastAsia="Times New Roman" w:cs="Arial"/>
                <w:bCs/>
                <w:color w:val="11151D"/>
                <w:sz w:val="20"/>
                <w:szCs w:val="20"/>
                <w:lang w:eastAsia="en-GB"/>
              </w:rPr>
            </w:pPr>
          </w:p>
        </w:tc>
        <w:tc>
          <w:tcPr>
            <w:tcW w:w="2126" w:type="dxa"/>
            <w:tcBorders>
              <w:top w:val="nil"/>
              <w:left w:val="nil"/>
              <w:bottom w:val="single" w:color="FFFFFF" w:themeColor="background1" w:sz="8" w:space="0"/>
              <w:right w:val="single" w:color="FFFFFF" w:themeColor="background1" w:sz="8" w:space="0"/>
            </w:tcBorders>
            <w:shd w:val="clear" w:color="auto" w:fill="E7EAF1"/>
            <w:tcMar/>
            <w:vAlign w:val="center"/>
          </w:tcPr>
          <w:p w:rsidRPr="00516B27" w:rsidR="0011702E" w:rsidP="00A12C47" w:rsidRDefault="00516B27" w14:paraId="559A88AA" w14:textId="46967EBA">
            <w:pPr>
              <w:spacing w:after="0" w:line="240" w:lineRule="auto"/>
              <w:jc w:val="center"/>
              <w:rPr>
                <w:rFonts w:ascii="Arial" w:hAnsi="Arial" w:eastAsia="Times New Roman" w:cs="Arial"/>
                <w:i/>
                <w:iCs/>
                <w:color w:val="11151D"/>
                <w:sz w:val="20"/>
                <w:szCs w:val="20"/>
                <w:lang w:eastAsia="en-GB"/>
              </w:rPr>
            </w:pPr>
            <w:r w:rsidRPr="00516B27">
              <w:rPr>
                <w:rFonts w:ascii="Arial" w:hAnsi="Arial" w:eastAsia="Times New Roman" w:cs="Arial"/>
                <w:i/>
                <w:iCs/>
                <w:color w:val="11151D"/>
                <w:sz w:val="20"/>
                <w:szCs w:val="20"/>
                <w:lang w:eastAsia="en-GB"/>
              </w:rPr>
              <w:t xml:space="preserve">Dates marked with </w:t>
            </w:r>
            <w:r w:rsidRPr="00516B27" w:rsidR="0011702E">
              <w:rPr>
                <w:rFonts w:ascii="Arial" w:hAnsi="Arial" w:eastAsia="Times New Roman" w:cs="Arial"/>
                <w:i/>
                <w:iCs/>
                <w:color w:val="11151D"/>
                <w:sz w:val="20"/>
                <w:szCs w:val="20"/>
                <w:lang w:eastAsia="en-GB"/>
              </w:rPr>
              <w:t xml:space="preserve">* </w:t>
            </w:r>
            <w:r w:rsidRPr="00516B27">
              <w:rPr>
                <w:rFonts w:ascii="Arial" w:hAnsi="Arial" w:eastAsia="Times New Roman" w:cs="Arial"/>
                <w:i/>
                <w:iCs/>
                <w:color w:val="11151D"/>
                <w:sz w:val="20"/>
                <w:szCs w:val="20"/>
                <w:lang w:eastAsia="en-GB"/>
              </w:rPr>
              <w:t>are approximate</w:t>
            </w:r>
          </w:p>
        </w:tc>
      </w:tr>
    </w:tbl>
    <w:p w:rsidRPr="006461BD" w:rsidR="005913AC" w:rsidP="006461BD" w:rsidRDefault="005913AC" w14:paraId="769DFDD2" w14:textId="43743C78">
      <w:pPr>
        <w:pStyle w:val="Heading2"/>
      </w:pPr>
      <w:r w:rsidRPr="006461BD">
        <w:t xml:space="preserve">What </w:t>
      </w:r>
      <w:r w:rsidR="00393E5E">
        <w:t xml:space="preserve">the NCC </w:t>
      </w:r>
      <w:r w:rsidRPr="006461BD">
        <w:t>will offer</w:t>
      </w:r>
    </w:p>
    <w:p w:rsidR="00B04528" w:rsidP="00642DE3" w:rsidRDefault="004B2E47" w14:paraId="261F59DA" w14:textId="2FD115A8">
      <w:pPr>
        <w:pStyle w:val="ListParagraph"/>
        <w:ind w:left="0"/>
      </w:pPr>
      <w:r>
        <w:t xml:space="preserve">For all the </w:t>
      </w:r>
      <w:proofErr w:type="spellStart"/>
      <w:r w:rsidRPr="00171145" w:rsidR="001B2FBA">
        <w:t>EoIs</w:t>
      </w:r>
      <w:proofErr w:type="spellEnd"/>
      <w:r w:rsidR="003B1FB3">
        <w:t xml:space="preserve"> that pass Stage 1</w:t>
      </w:r>
      <w:r w:rsidRPr="00171145" w:rsidR="00FD4F59">
        <w:t>,</w:t>
      </w:r>
      <w:r w:rsidR="00FD4F59">
        <w:t xml:space="preserve"> t</w:t>
      </w:r>
      <w:r>
        <w:t xml:space="preserve">he </w:t>
      </w:r>
      <w:r w:rsidR="00B04528">
        <w:t xml:space="preserve">NCC will </w:t>
      </w:r>
      <w:r>
        <w:t>assign an NCC Champion</w:t>
      </w:r>
      <w:r w:rsidR="00F06D39">
        <w:t>.</w:t>
      </w:r>
      <w:r>
        <w:t xml:space="preserve"> </w:t>
      </w:r>
      <w:r w:rsidR="00F06D39">
        <w:t xml:space="preserve">The NCC </w:t>
      </w:r>
      <w:r w:rsidR="001B2FBA">
        <w:t>C</w:t>
      </w:r>
      <w:r w:rsidR="00F06D39">
        <w:t xml:space="preserve">hampions will </w:t>
      </w:r>
      <w:r>
        <w:t xml:space="preserve">collaborate with the </w:t>
      </w:r>
      <w:r w:rsidR="000A0BD1">
        <w:t>API</w:t>
      </w:r>
      <w:r>
        <w:t xml:space="preserve"> to </w:t>
      </w:r>
      <w:r w:rsidR="00F13BB4">
        <w:t xml:space="preserve">carry out a staged </w:t>
      </w:r>
      <w:r w:rsidR="00E547CD">
        <w:t xml:space="preserve">appraisal. If the proposal is considered </w:t>
      </w:r>
      <w:r w:rsidR="00DD7161">
        <w:t xml:space="preserve">to meet the criteria </w:t>
      </w:r>
      <w:r w:rsidR="00E547CD">
        <w:t xml:space="preserve">at each </w:t>
      </w:r>
      <w:proofErr w:type="gramStart"/>
      <w:r w:rsidR="00E547CD">
        <w:t>stage</w:t>
      </w:r>
      <w:proofErr w:type="gramEnd"/>
      <w:r w:rsidR="00E547CD">
        <w:t xml:space="preserve"> it will progress to the next step. </w:t>
      </w:r>
      <w:r w:rsidR="006461BD">
        <w:t>The</w:t>
      </w:r>
      <w:r w:rsidR="00E547CD">
        <w:t>se stages will be</w:t>
      </w:r>
      <w:r w:rsidR="00F13BB4">
        <w:t>:</w:t>
      </w:r>
      <w:r w:rsidR="00B04528">
        <w:t xml:space="preserve"> </w:t>
      </w:r>
    </w:p>
    <w:p w:rsidR="00B04528" w:rsidP="00B04528" w:rsidRDefault="00EB3D55" w14:paraId="1BC6BDB7" w14:textId="77777777">
      <w:pPr>
        <w:pStyle w:val="ListParagraph"/>
        <w:numPr>
          <w:ilvl w:val="0"/>
          <w:numId w:val="2"/>
        </w:numPr>
      </w:pPr>
      <w:r>
        <w:t>I</w:t>
      </w:r>
      <w:r w:rsidR="00B04528">
        <w:t>dentif</w:t>
      </w:r>
      <w:r>
        <w:t>ication of</w:t>
      </w:r>
      <w:r w:rsidR="00F63769">
        <w:t xml:space="preserve"> the current </w:t>
      </w:r>
      <w:proofErr w:type="gramStart"/>
      <w:r w:rsidR="00F63769">
        <w:t>TRL;</w:t>
      </w:r>
      <w:proofErr w:type="gramEnd"/>
    </w:p>
    <w:p w:rsidR="00E547CD" w:rsidP="00B04528" w:rsidRDefault="003B778A" w14:paraId="3268CDD4" w14:textId="77777777">
      <w:pPr>
        <w:pStyle w:val="ListParagraph"/>
        <w:numPr>
          <w:ilvl w:val="0"/>
          <w:numId w:val="2"/>
        </w:numPr>
      </w:pPr>
      <w:r>
        <w:t>E</w:t>
      </w:r>
      <w:r w:rsidR="00E547CD">
        <w:t>stablish fit to NCC technology roadmap</w:t>
      </w:r>
      <w:r w:rsidR="00F63769">
        <w:t xml:space="preserve">, competence and </w:t>
      </w:r>
      <w:proofErr w:type="gramStart"/>
      <w:r w:rsidR="00F63769">
        <w:t>capabilities;</w:t>
      </w:r>
      <w:proofErr w:type="gramEnd"/>
    </w:p>
    <w:p w:rsidR="00B04528" w:rsidP="00B04528" w:rsidRDefault="003B778A" w14:paraId="79AD0844" w14:textId="77777777">
      <w:pPr>
        <w:pStyle w:val="ListParagraph"/>
        <w:numPr>
          <w:ilvl w:val="0"/>
          <w:numId w:val="2"/>
        </w:numPr>
      </w:pPr>
      <w:r>
        <w:t>E</w:t>
      </w:r>
      <w:r w:rsidR="00A74481">
        <w:t xml:space="preserve">stablish the critical </w:t>
      </w:r>
      <w:r w:rsidR="00B04528">
        <w:t>steps</w:t>
      </w:r>
      <w:r w:rsidR="00F63769">
        <w:t xml:space="preserve"> towards achieving the target </w:t>
      </w:r>
      <w:proofErr w:type="gramStart"/>
      <w:r w:rsidR="00F63769">
        <w:t>development;</w:t>
      </w:r>
      <w:proofErr w:type="gramEnd"/>
    </w:p>
    <w:p w:rsidR="00B04528" w:rsidP="00CA65BB" w:rsidRDefault="003B778A" w14:paraId="7E231920" w14:textId="77777777">
      <w:pPr>
        <w:pStyle w:val="ListParagraph"/>
        <w:numPr>
          <w:ilvl w:val="0"/>
          <w:numId w:val="2"/>
        </w:numPr>
      </w:pPr>
      <w:r>
        <w:t>D</w:t>
      </w:r>
      <w:r w:rsidR="00B04528">
        <w:t>efin</w:t>
      </w:r>
      <w:r>
        <w:t>ition of</w:t>
      </w:r>
      <w:r w:rsidR="00B04528">
        <w:t xml:space="preserve"> a costed </w:t>
      </w:r>
      <w:r w:rsidR="00F01DFC">
        <w:t>plan</w:t>
      </w:r>
      <w:r w:rsidR="00F63769">
        <w:t xml:space="preserve"> to achieve such </w:t>
      </w:r>
      <w:proofErr w:type="gramStart"/>
      <w:r w:rsidR="00F63769">
        <w:t>target;</w:t>
      </w:r>
      <w:proofErr w:type="gramEnd"/>
    </w:p>
    <w:p w:rsidR="00642DE3" w:rsidP="00FD5D8D" w:rsidRDefault="003B778A" w14:paraId="2387EDB8" w14:textId="2F25F917">
      <w:pPr>
        <w:pStyle w:val="ListParagraph"/>
        <w:numPr>
          <w:ilvl w:val="0"/>
          <w:numId w:val="2"/>
        </w:numPr>
        <w:ind w:left="714" w:hanging="357"/>
        <w:contextualSpacing w:val="0"/>
      </w:pPr>
      <w:r>
        <w:t xml:space="preserve">Compilation of </w:t>
      </w:r>
      <w:r w:rsidR="00642DE3">
        <w:t xml:space="preserve">a proposal based on </w:t>
      </w:r>
      <w:r w:rsidR="00F01DFC">
        <w:t>such</w:t>
      </w:r>
      <w:r w:rsidR="00642DE3">
        <w:t xml:space="preserve"> </w:t>
      </w:r>
      <w:r w:rsidR="00F01DFC">
        <w:t>plan</w:t>
      </w:r>
      <w:r w:rsidR="00642DE3">
        <w:t xml:space="preserve"> to be submitted </w:t>
      </w:r>
      <w:r w:rsidR="00FD4F59">
        <w:t>in Stage 2</w:t>
      </w:r>
      <w:r w:rsidR="00F63769">
        <w:t xml:space="preserve"> (</w:t>
      </w:r>
      <w:r w:rsidR="001B2FBA">
        <w:t>template</w:t>
      </w:r>
      <w:r w:rsidR="00F63769">
        <w:t xml:space="preserve"> to be provided)</w:t>
      </w:r>
      <w:r w:rsidR="00FD4F59">
        <w:t>.</w:t>
      </w:r>
    </w:p>
    <w:p w:rsidR="00EC27A1" w:rsidP="00FD5D8D" w:rsidRDefault="00642DE3" w14:paraId="30B76085" w14:textId="77777777">
      <w:pPr>
        <w:pStyle w:val="ListParagraph"/>
        <w:spacing w:before="120" w:after="0" w:line="240" w:lineRule="auto"/>
        <w:ind w:left="0"/>
        <w:contextualSpacing w:val="0"/>
      </w:pPr>
      <w:r>
        <w:t xml:space="preserve">For the </w:t>
      </w:r>
      <w:r w:rsidR="002D4BB7">
        <w:t>funded</w:t>
      </w:r>
      <w:r>
        <w:t xml:space="preserve"> projects</w:t>
      </w:r>
      <w:r w:rsidR="00F01DFC">
        <w:t>,</w:t>
      </w:r>
      <w:r>
        <w:t xml:space="preserve"> the NCC</w:t>
      </w:r>
      <w:r w:rsidR="002D4BB7">
        <w:t>,</w:t>
      </w:r>
      <w:r>
        <w:t xml:space="preserve"> in close </w:t>
      </w:r>
      <w:r w:rsidR="00F01DFC">
        <w:t>collaboration with the A</w:t>
      </w:r>
      <w:r>
        <w:t>PI</w:t>
      </w:r>
      <w:r w:rsidR="002D4BB7">
        <w:t>,</w:t>
      </w:r>
      <w:r>
        <w:t xml:space="preserve"> will:</w:t>
      </w:r>
    </w:p>
    <w:p w:rsidR="00B04528" w:rsidP="00B04528" w:rsidRDefault="00F01DFC" w14:paraId="05FE9C65" w14:textId="77777777">
      <w:pPr>
        <w:pStyle w:val="ListParagraph"/>
        <w:numPr>
          <w:ilvl w:val="0"/>
          <w:numId w:val="2"/>
        </w:numPr>
      </w:pPr>
      <w:r>
        <w:t>C</w:t>
      </w:r>
      <w:r w:rsidR="00B04528">
        <w:t>arry out and report</w:t>
      </w:r>
      <w:r w:rsidR="00642DE3">
        <w:t xml:space="preserve"> on the</w:t>
      </w:r>
      <w:r w:rsidR="00B04528">
        <w:t xml:space="preserve"> </w:t>
      </w:r>
      <w:proofErr w:type="gramStart"/>
      <w:r>
        <w:t>plan</w:t>
      </w:r>
      <w:r w:rsidR="00F63769">
        <w:t>;</w:t>
      </w:r>
      <w:proofErr w:type="gramEnd"/>
    </w:p>
    <w:p w:rsidR="00642DE3" w:rsidP="00642DE3" w:rsidRDefault="00F01DFC" w14:paraId="13C28C83" w14:textId="6BEFAE82">
      <w:pPr>
        <w:pStyle w:val="ListParagraph"/>
        <w:numPr>
          <w:ilvl w:val="0"/>
          <w:numId w:val="2"/>
        </w:numPr>
      </w:pPr>
      <w:r>
        <w:t>C</w:t>
      </w:r>
      <w:r w:rsidR="00B04528">
        <w:t>arry out a</w:t>
      </w:r>
      <w:r w:rsidR="002632FF">
        <w:t>n</w:t>
      </w:r>
      <w:r w:rsidR="00B04528">
        <w:t xml:space="preserve"> appraisal of commercial potential</w:t>
      </w:r>
      <w:r w:rsidR="00A74481">
        <w:t xml:space="preserve"> at end of the </w:t>
      </w:r>
      <w:proofErr w:type="gramStart"/>
      <w:r w:rsidR="00A74481">
        <w:t>pro</w:t>
      </w:r>
      <w:r>
        <w:t>ject</w:t>
      </w:r>
      <w:r w:rsidR="00F63769">
        <w:t>;</w:t>
      </w:r>
      <w:proofErr w:type="gramEnd"/>
    </w:p>
    <w:p w:rsidR="00CE5213" w:rsidP="00FD5D8D" w:rsidRDefault="00F01DFC" w14:paraId="29952B73" w14:textId="77777777">
      <w:pPr>
        <w:pStyle w:val="ListParagraph"/>
        <w:numPr>
          <w:ilvl w:val="0"/>
          <w:numId w:val="2"/>
        </w:numPr>
        <w:ind w:left="714" w:hanging="357"/>
        <w:contextualSpacing w:val="0"/>
      </w:pPr>
      <w:r>
        <w:lastRenderedPageBreak/>
        <w:t>D</w:t>
      </w:r>
      <w:r w:rsidR="00CE5213">
        <w:t>isseminate the results of the pro</w:t>
      </w:r>
      <w:r>
        <w:t>ject</w:t>
      </w:r>
      <w:r w:rsidR="00CE5213">
        <w:t xml:space="preserve"> to academia and to the composites industry</w:t>
      </w:r>
      <w:r>
        <w:t>, as appropriate.</w:t>
      </w:r>
    </w:p>
    <w:p w:rsidR="00A74481" w:rsidP="00FD5D8D" w:rsidRDefault="00642DE3" w14:paraId="5AB0948C" w14:textId="77777777">
      <w:pPr>
        <w:pStyle w:val="ListParagraph"/>
        <w:spacing w:before="120" w:after="0" w:line="240" w:lineRule="auto"/>
        <w:ind w:left="0"/>
        <w:contextualSpacing w:val="0"/>
      </w:pPr>
      <w:r>
        <w:t>F</w:t>
      </w:r>
      <w:r w:rsidR="00A74481">
        <w:t xml:space="preserve">or </w:t>
      </w:r>
      <w:r w:rsidR="00FC5FD8">
        <w:t xml:space="preserve">the </w:t>
      </w:r>
      <w:r w:rsidR="002D4BB7">
        <w:t>funded</w:t>
      </w:r>
      <w:r w:rsidR="00FC5FD8">
        <w:t xml:space="preserve"> </w:t>
      </w:r>
      <w:r w:rsidR="00A74481">
        <w:t>projects judged to have good commercial potential</w:t>
      </w:r>
      <w:r w:rsidR="002D4BB7">
        <w:t>,</w:t>
      </w:r>
      <w:r w:rsidR="00A74481">
        <w:t xml:space="preserve"> the NCC will in addition</w:t>
      </w:r>
      <w:r w:rsidR="00F13BB4">
        <w:t>:</w:t>
      </w:r>
    </w:p>
    <w:p w:rsidR="006F72D5" w:rsidP="00FD5D8D" w:rsidRDefault="002D4BB7" w14:paraId="433F9A6C" w14:textId="77777777">
      <w:pPr>
        <w:pStyle w:val="ListParagraph"/>
        <w:numPr>
          <w:ilvl w:val="0"/>
          <w:numId w:val="2"/>
        </w:numPr>
      </w:pPr>
      <w:r>
        <w:t>M</w:t>
      </w:r>
      <w:r w:rsidR="00B04528">
        <w:t>ap out a route to TRL</w:t>
      </w:r>
      <w:r w:rsidR="00F63769">
        <w:t>6</w:t>
      </w:r>
      <w:r w:rsidR="00F3028D">
        <w:t>,</w:t>
      </w:r>
      <w:r w:rsidR="00B04528">
        <w:t xml:space="preserve"> at which point the technology should transition </w:t>
      </w:r>
      <w:r>
        <w:t>in</w:t>
      </w:r>
      <w:r w:rsidR="00B04528">
        <w:t xml:space="preserve">to the commercial </w:t>
      </w:r>
      <w:proofErr w:type="gramStart"/>
      <w:r w:rsidR="00B04528">
        <w:t>space</w:t>
      </w:r>
      <w:r w:rsidR="00F63769">
        <w:t>;</w:t>
      </w:r>
      <w:proofErr w:type="gramEnd"/>
    </w:p>
    <w:p w:rsidR="00B04528" w:rsidP="00FD5D8D" w:rsidRDefault="002D4BB7" w14:paraId="7A13F9B9" w14:textId="77777777">
      <w:pPr>
        <w:pStyle w:val="ListParagraph"/>
        <w:numPr>
          <w:ilvl w:val="0"/>
          <w:numId w:val="2"/>
        </w:numPr>
      </w:pPr>
      <w:r>
        <w:t>W</w:t>
      </w:r>
      <w:r w:rsidR="00B04528">
        <w:t xml:space="preserve">ork with the academic team to define the best route to market and </w:t>
      </w:r>
      <w:proofErr w:type="gramStart"/>
      <w:r w:rsidR="00F63769">
        <w:t>commercialisation;</w:t>
      </w:r>
      <w:proofErr w:type="gramEnd"/>
    </w:p>
    <w:p w:rsidR="00A74481" w:rsidP="00FD5D8D" w:rsidRDefault="002D4BB7" w14:paraId="6B601BE6" w14:textId="77777777">
      <w:pPr>
        <w:pStyle w:val="ListParagraph"/>
        <w:numPr>
          <w:ilvl w:val="0"/>
          <w:numId w:val="2"/>
        </w:numPr>
      </w:pPr>
      <w:r>
        <w:t>W</w:t>
      </w:r>
      <w:r w:rsidR="00A74481">
        <w:t xml:space="preserve">ork with the academic team to identify funding sources and apply for suitable </w:t>
      </w:r>
      <w:r w:rsidR="005E41E0">
        <w:t xml:space="preserve">further development </w:t>
      </w:r>
      <w:r w:rsidR="00A74481">
        <w:t>funding</w:t>
      </w:r>
      <w:r>
        <w:t>.</w:t>
      </w:r>
    </w:p>
    <w:p w:rsidR="00DF298A" w:rsidP="00A74481" w:rsidRDefault="00A74481" w14:paraId="611B43C2" w14:textId="41FC3F76">
      <w:r>
        <w:t xml:space="preserve">The NCC will </w:t>
      </w:r>
      <w:r w:rsidR="000F25B6">
        <w:t>use</w:t>
      </w:r>
      <w:r>
        <w:t xml:space="preserve"> Catapult funds to carry out this programme and will not require any funding from the academic partner.</w:t>
      </w:r>
    </w:p>
    <w:p w:rsidR="00DF298A" w:rsidP="00FD5D8D" w:rsidRDefault="00DF298A" w14:paraId="6E035765" w14:textId="77777777">
      <w:pPr>
        <w:spacing w:before="120" w:after="0" w:line="240" w:lineRule="auto"/>
      </w:pPr>
      <w:r>
        <w:t>The advantages of the NCC’s offering are</w:t>
      </w:r>
      <w:r w:rsidR="00F13BB4">
        <w:t>:</w:t>
      </w:r>
    </w:p>
    <w:p w:rsidR="00A74481" w:rsidP="00DF298A" w:rsidRDefault="002D4BB7" w14:paraId="113CA971" w14:textId="77777777">
      <w:pPr>
        <w:pStyle w:val="ListParagraph"/>
        <w:numPr>
          <w:ilvl w:val="0"/>
          <w:numId w:val="3"/>
        </w:numPr>
      </w:pPr>
      <w:r>
        <w:t>T</w:t>
      </w:r>
      <w:r w:rsidR="00DF298A">
        <w:t xml:space="preserve">he potential for a rapid response to </w:t>
      </w:r>
      <w:proofErr w:type="gramStart"/>
      <w:r w:rsidR="00DF298A">
        <w:t>proposals</w:t>
      </w:r>
      <w:r w:rsidR="00F63769">
        <w:t>;</w:t>
      </w:r>
      <w:proofErr w:type="gramEnd"/>
    </w:p>
    <w:p w:rsidR="00DF298A" w:rsidP="00DF298A" w:rsidRDefault="002D4BB7" w14:paraId="5F3D0F51" w14:textId="77777777">
      <w:pPr>
        <w:pStyle w:val="ListParagraph"/>
        <w:numPr>
          <w:ilvl w:val="0"/>
          <w:numId w:val="3"/>
        </w:numPr>
      </w:pPr>
      <w:r>
        <w:t>A</w:t>
      </w:r>
      <w:r w:rsidR="00DF298A">
        <w:t>ccess to a wide range of technic</w:t>
      </w:r>
      <w:r>
        <w:t>al capabilities, including full-</w:t>
      </w:r>
      <w:r w:rsidR="00DF298A">
        <w:t xml:space="preserve">scale industrial </w:t>
      </w:r>
      <w:proofErr w:type="gramStart"/>
      <w:r w:rsidR="00DF298A">
        <w:t>plant</w:t>
      </w:r>
      <w:r w:rsidR="00F63769">
        <w:t>;</w:t>
      </w:r>
      <w:proofErr w:type="gramEnd"/>
    </w:p>
    <w:p w:rsidR="00DF298A" w:rsidP="00DF298A" w:rsidRDefault="002D4BB7" w14:paraId="44818A44" w14:textId="77777777">
      <w:pPr>
        <w:pStyle w:val="ListParagraph"/>
        <w:numPr>
          <w:ilvl w:val="0"/>
          <w:numId w:val="3"/>
        </w:numPr>
      </w:pPr>
      <w:r>
        <w:t>A</w:t>
      </w:r>
      <w:r w:rsidR="00DF298A">
        <w:t xml:space="preserve">ccess to Business Development and Marketing </w:t>
      </w:r>
      <w:proofErr w:type="gramStart"/>
      <w:r w:rsidR="00DF298A">
        <w:t>expertise</w:t>
      </w:r>
      <w:r w:rsidR="00F63769">
        <w:t>;</w:t>
      </w:r>
      <w:proofErr w:type="gramEnd"/>
    </w:p>
    <w:p w:rsidR="00DF298A" w:rsidP="00DF298A" w:rsidRDefault="002D4BB7" w14:paraId="38A22580" w14:textId="77777777">
      <w:pPr>
        <w:pStyle w:val="ListParagraph"/>
        <w:numPr>
          <w:ilvl w:val="0"/>
          <w:numId w:val="3"/>
        </w:numPr>
      </w:pPr>
      <w:r>
        <w:t>N</w:t>
      </w:r>
      <w:r w:rsidR="00DF298A">
        <w:t xml:space="preserve">o cost to the academic </w:t>
      </w:r>
      <w:proofErr w:type="gramStart"/>
      <w:r w:rsidR="00DF298A">
        <w:t>partner</w:t>
      </w:r>
      <w:r w:rsidR="00F63769">
        <w:t>;</w:t>
      </w:r>
      <w:proofErr w:type="gramEnd"/>
    </w:p>
    <w:p w:rsidR="00DF298A" w:rsidP="00DF298A" w:rsidRDefault="002D4BB7" w14:paraId="3F856E53" w14:textId="77777777">
      <w:pPr>
        <w:pStyle w:val="ListParagraph"/>
        <w:numPr>
          <w:ilvl w:val="0"/>
          <w:numId w:val="3"/>
        </w:numPr>
      </w:pPr>
      <w:r>
        <w:t>U</w:t>
      </w:r>
      <w:r w:rsidR="00DF298A">
        <w:t xml:space="preserve">p-front clarity on IP </w:t>
      </w:r>
      <w:proofErr w:type="gramStart"/>
      <w:r w:rsidR="00DF298A">
        <w:t>ownership</w:t>
      </w:r>
      <w:r w:rsidR="00F63769">
        <w:t>;</w:t>
      </w:r>
      <w:proofErr w:type="gramEnd"/>
    </w:p>
    <w:p w:rsidR="00DF298A" w:rsidP="00DF298A" w:rsidRDefault="002D4BB7" w14:paraId="7CE64349" w14:textId="77777777">
      <w:pPr>
        <w:pStyle w:val="ListParagraph"/>
        <w:numPr>
          <w:ilvl w:val="0"/>
          <w:numId w:val="3"/>
        </w:numPr>
      </w:pPr>
      <w:r>
        <w:t>A</w:t>
      </w:r>
      <w:r w:rsidR="00DF298A">
        <w:t>ccess t</w:t>
      </w:r>
      <w:r>
        <w:t>o a wide range of potential end-</w:t>
      </w:r>
      <w:r w:rsidR="00DF298A">
        <w:t>users in the NCC members</w:t>
      </w:r>
      <w:r w:rsidR="00DE10E0">
        <w:t xml:space="preserve"> and customers cohort.</w:t>
      </w:r>
    </w:p>
    <w:p w:rsidR="00DF298A" w:rsidP="00DF298A" w:rsidRDefault="00DF298A" w14:paraId="28B03F42" w14:textId="4D9B2EA4">
      <w:r>
        <w:t xml:space="preserve">A limitation of the NCC’s offering is that the </w:t>
      </w:r>
      <w:r w:rsidR="00F46610">
        <w:t xml:space="preserve">Technology </w:t>
      </w:r>
      <w:r>
        <w:t>Pull-Through fund is limited</w:t>
      </w:r>
      <w:r w:rsidR="00F83309">
        <w:t>,</w:t>
      </w:r>
      <w:r>
        <w:t xml:space="preserve"> so that it cannot be guaranteed that any </w:t>
      </w:r>
      <w:proofErr w:type="gramStart"/>
      <w:r>
        <w:t>particular project</w:t>
      </w:r>
      <w:proofErr w:type="gramEnd"/>
      <w:r>
        <w:t xml:space="preserve"> c</w:t>
      </w:r>
      <w:r w:rsidR="00F46610">
        <w:t>an</w:t>
      </w:r>
      <w:r>
        <w:t xml:space="preserve"> be carried all the way to </w:t>
      </w:r>
      <w:r w:rsidR="00F83309">
        <w:t xml:space="preserve">a </w:t>
      </w:r>
      <w:r>
        <w:t>commercial launch.</w:t>
      </w:r>
    </w:p>
    <w:p w:rsidR="00700BE4" w:rsidP="00DF298A" w:rsidRDefault="00525C35" w14:paraId="0C7784A5" w14:textId="5ED1C491">
      <w:r>
        <w:t>If a proposal is not successful within the NCC acceptance criteria</w:t>
      </w:r>
      <w:r w:rsidR="001B2FBA">
        <w:t>,</w:t>
      </w:r>
      <w:r>
        <w:t xml:space="preserve"> alternatives </w:t>
      </w:r>
      <w:r w:rsidR="00F83309">
        <w:t xml:space="preserve">to using the NCC </w:t>
      </w:r>
      <w:r w:rsidR="005533C4">
        <w:t xml:space="preserve">Technology </w:t>
      </w:r>
      <w:r w:rsidR="00F83309">
        <w:t>Pull-Through funding could be</w:t>
      </w:r>
      <w:r w:rsidR="00F13BB4">
        <w:t>:</w:t>
      </w:r>
    </w:p>
    <w:p w:rsidR="00DF298A" w:rsidP="00F83309" w:rsidRDefault="00A55B7F" w14:paraId="60287439" w14:textId="0A5AB632">
      <w:pPr>
        <w:pStyle w:val="ListParagraph"/>
        <w:numPr>
          <w:ilvl w:val="0"/>
          <w:numId w:val="4"/>
        </w:numPr>
      </w:pPr>
      <w:r>
        <w:t>A</w:t>
      </w:r>
      <w:r w:rsidR="00F83309">
        <w:t xml:space="preserve">pplication for </w:t>
      </w:r>
      <w:proofErr w:type="spellStart"/>
      <w:r w:rsidR="00F83309">
        <w:t>I</w:t>
      </w:r>
      <w:r w:rsidR="00D310AA">
        <w:t>nnovate</w:t>
      </w:r>
      <w:r w:rsidR="00F83309">
        <w:t>UK</w:t>
      </w:r>
      <w:proofErr w:type="spellEnd"/>
      <w:r w:rsidR="00F83309">
        <w:t xml:space="preserve"> funding with a commercial partner</w:t>
      </w:r>
    </w:p>
    <w:p w:rsidR="005F7C82" w:rsidP="00F83309" w:rsidRDefault="00F83309" w14:paraId="0AFF9716" w14:textId="77777777">
      <w:pPr>
        <w:pStyle w:val="ListParagraph"/>
        <w:numPr>
          <w:ilvl w:val="1"/>
          <w:numId w:val="4"/>
        </w:numPr>
      </w:pPr>
      <w:r>
        <w:t>t</w:t>
      </w:r>
      <w:r w:rsidR="005F7C82">
        <w:t>his approach is relatively low risk</w:t>
      </w:r>
    </w:p>
    <w:p w:rsidR="00F83309" w:rsidP="00F83309" w:rsidRDefault="005F7C82" w14:paraId="0A53DB72" w14:textId="77777777">
      <w:pPr>
        <w:pStyle w:val="ListParagraph"/>
        <w:numPr>
          <w:ilvl w:val="1"/>
          <w:numId w:val="4"/>
        </w:numPr>
      </w:pPr>
      <w:r>
        <w:t>t</w:t>
      </w:r>
      <w:r w:rsidR="00F83309">
        <w:t xml:space="preserve">his would </w:t>
      </w:r>
      <w:r w:rsidR="00700BE4">
        <w:t>almost certainly lead to significant dilution of the academic lead’s personal control of the technology development</w:t>
      </w:r>
    </w:p>
    <w:p w:rsidR="00700BE4" w:rsidP="00F83309" w:rsidRDefault="00700BE4" w14:paraId="4E165D95" w14:textId="77777777">
      <w:pPr>
        <w:pStyle w:val="ListParagraph"/>
        <w:numPr>
          <w:ilvl w:val="1"/>
          <w:numId w:val="4"/>
        </w:numPr>
      </w:pPr>
      <w:r>
        <w:t>funding is cash-limited</w:t>
      </w:r>
    </w:p>
    <w:p w:rsidR="00700BE4" w:rsidP="00F83309" w:rsidRDefault="00700BE4" w14:paraId="4B110DAC" w14:textId="77777777">
      <w:pPr>
        <w:pStyle w:val="ListParagraph"/>
        <w:numPr>
          <w:ilvl w:val="1"/>
          <w:numId w:val="4"/>
        </w:numPr>
      </w:pPr>
      <w:r>
        <w:t>funding strike rate is not high</w:t>
      </w:r>
    </w:p>
    <w:p w:rsidR="007D2D4D" w:rsidP="00F83309" w:rsidRDefault="007D2D4D" w14:paraId="68465294" w14:textId="77777777">
      <w:pPr>
        <w:pStyle w:val="ListParagraph"/>
        <w:numPr>
          <w:ilvl w:val="1"/>
          <w:numId w:val="4"/>
        </w:numPr>
      </w:pPr>
      <w:r>
        <w:t>commercial partner may not have all the required capabilities</w:t>
      </w:r>
    </w:p>
    <w:p w:rsidR="007D2D4D" w:rsidP="007D2D4D" w:rsidRDefault="007D2D4D" w14:paraId="6CDAE276" w14:textId="77777777">
      <w:pPr>
        <w:pStyle w:val="ListParagraph"/>
        <w:ind w:left="1490"/>
      </w:pPr>
    </w:p>
    <w:p w:rsidR="007D2D4D" w:rsidP="007D2D4D" w:rsidRDefault="00A55B7F" w14:paraId="242EBBE2" w14:textId="64B97261">
      <w:pPr>
        <w:pStyle w:val="ListParagraph"/>
        <w:numPr>
          <w:ilvl w:val="0"/>
          <w:numId w:val="4"/>
        </w:numPr>
      </w:pPr>
      <w:r>
        <w:t>L</w:t>
      </w:r>
      <w:r w:rsidR="007D2D4D">
        <w:t>icensing or sale of the technology to a commercial organisation</w:t>
      </w:r>
      <w:r w:rsidR="005F7C82">
        <w:t xml:space="preserve"> or a potential end user </w:t>
      </w:r>
      <w:r w:rsidR="007D2D4D">
        <w:t>for further development</w:t>
      </w:r>
    </w:p>
    <w:p w:rsidR="005F7C82" w:rsidP="007D2D4D" w:rsidRDefault="005F7C82" w14:paraId="2FEAA00C" w14:textId="306EC704">
      <w:pPr>
        <w:pStyle w:val="ListParagraph"/>
        <w:numPr>
          <w:ilvl w:val="1"/>
          <w:numId w:val="4"/>
        </w:numPr>
      </w:pPr>
      <w:r>
        <w:t>in principle</w:t>
      </w:r>
      <w:r w:rsidR="001B2FBA">
        <w:t>,</w:t>
      </w:r>
      <w:r>
        <w:t xml:space="preserve"> this co</w:t>
      </w:r>
      <w:r w:rsidR="005E41E0">
        <w:t>u</w:t>
      </w:r>
      <w:r>
        <w:t>ld be the fastest route to full commerci</w:t>
      </w:r>
      <w:r w:rsidR="005E41E0">
        <w:t>alisation, if the buyer/licensee</w:t>
      </w:r>
      <w:r>
        <w:t xml:space="preserve"> has </w:t>
      </w:r>
      <w:r w:rsidR="00CE5213">
        <w:t>financial viability</w:t>
      </w:r>
    </w:p>
    <w:p w:rsidR="007D2D4D" w:rsidP="007D2D4D" w:rsidRDefault="007D2D4D" w14:paraId="570AC91F" w14:textId="77777777">
      <w:pPr>
        <w:pStyle w:val="ListParagraph"/>
        <w:numPr>
          <w:ilvl w:val="1"/>
          <w:numId w:val="4"/>
        </w:numPr>
      </w:pPr>
      <w:r>
        <w:t>the academic lead’s personal control of the technology development could be minimal</w:t>
      </w:r>
    </w:p>
    <w:p w:rsidR="007D2D4D" w:rsidP="007D2D4D" w:rsidRDefault="007D2D4D" w14:paraId="53D27F28" w14:textId="77777777">
      <w:pPr>
        <w:pStyle w:val="ListParagraph"/>
        <w:numPr>
          <w:ilvl w:val="1"/>
          <w:numId w:val="4"/>
        </w:numPr>
      </w:pPr>
      <w:r>
        <w:t>commercial partner may not have all the required capabilities or funding needed</w:t>
      </w:r>
    </w:p>
    <w:p w:rsidR="00F83309" w:rsidP="00626DB1" w:rsidRDefault="007D2D4D" w14:paraId="4D64F3A7" w14:textId="77777777">
      <w:pPr>
        <w:pStyle w:val="ListParagraph"/>
        <w:numPr>
          <w:ilvl w:val="1"/>
          <w:numId w:val="4"/>
        </w:numPr>
        <w:ind w:left="1485" w:hanging="357"/>
        <w:contextualSpacing w:val="0"/>
      </w:pPr>
      <w:r>
        <w:t xml:space="preserve">IP position could become </w:t>
      </w:r>
      <w:r w:rsidR="005F7C82">
        <w:t>confused</w:t>
      </w:r>
    </w:p>
    <w:p w:rsidR="00F83309" w:rsidP="00F83309" w:rsidRDefault="00A55B7F" w14:paraId="303F72BA" w14:textId="77777777">
      <w:pPr>
        <w:pStyle w:val="ListParagraph"/>
        <w:numPr>
          <w:ilvl w:val="0"/>
          <w:numId w:val="4"/>
        </w:numPr>
      </w:pPr>
      <w:r>
        <w:t>S</w:t>
      </w:r>
      <w:r w:rsidR="00F83309">
        <w:t>pin-out of a company to commercialise the technology</w:t>
      </w:r>
      <w:r w:rsidR="005F7C82">
        <w:t xml:space="preserve"> by the academic lead</w:t>
      </w:r>
    </w:p>
    <w:p w:rsidR="005F7C82" w:rsidP="005F7C82" w:rsidRDefault="005F7C82" w14:paraId="0D211793" w14:textId="24D5C437">
      <w:pPr>
        <w:pStyle w:val="ListParagraph"/>
        <w:numPr>
          <w:ilvl w:val="1"/>
          <w:numId w:val="4"/>
        </w:numPr>
      </w:pPr>
      <w:r>
        <w:t>in principle</w:t>
      </w:r>
      <w:r w:rsidR="001B2FBA">
        <w:t>,</w:t>
      </w:r>
      <w:r>
        <w:t xml:space="preserve"> this potentially maximises the academic lead’s personal control of the technology development </w:t>
      </w:r>
    </w:p>
    <w:p w:rsidR="005F7C82" w:rsidP="005F7C82" w:rsidRDefault="005F7C82" w14:paraId="49921940" w14:textId="77777777">
      <w:pPr>
        <w:pStyle w:val="ListParagraph"/>
        <w:numPr>
          <w:ilvl w:val="1"/>
          <w:numId w:val="4"/>
        </w:numPr>
      </w:pPr>
      <w:r>
        <w:lastRenderedPageBreak/>
        <w:t>funding will be needed from one or more investors and IUK funds w</w:t>
      </w:r>
      <w:r w:rsidR="005E41E0">
        <w:t xml:space="preserve">ill probably also have to be </w:t>
      </w:r>
      <w:r>
        <w:t>sought</w:t>
      </w:r>
    </w:p>
    <w:p w:rsidR="005F7C82" w:rsidP="005F7C82" w:rsidRDefault="005F7C82" w14:paraId="04DF8498" w14:textId="643DEBFD">
      <w:pPr>
        <w:pStyle w:val="ListParagraph"/>
        <w:numPr>
          <w:ilvl w:val="1"/>
          <w:numId w:val="4"/>
        </w:numPr>
      </w:pPr>
      <w:r>
        <w:t xml:space="preserve">this is a </w:t>
      </w:r>
      <w:r w:rsidR="000A0BD1">
        <w:t>high-risk</w:t>
      </w:r>
      <w:r>
        <w:t xml:space="preserve"> approach (most start-ups fail) </w:t>
      </w:r>
      <w:r w:rsidR="005E41E0">
        <w:t>to get the company into positive cash</w:t>
      </w:r>
      <w:r w:rsidR="003E6F61">
        <w:noBreakHyphen/>
      </w:r>
      <w:r w:rsidR="005E41E0">
        <w:t>flow before the start-up funds dry up</w:t>
      </w:r>
    </w:p>
    <w:p w:rsidR="00CE5213" w:rsidP="00F3028D" w:rsidRDefault="005E41E0" w14:paraId="0DEE749E" w14:textId="5CE46C39">
      <w:pPr>
        <w:pStyle w:val="ListParagraph"/>
        <w:numPr>
          <w:ilvl w:val="1"/>
          <w:numId w:val="4"/>
        </w:numPr>
      </w:pPr>
      <w:r>
        <w:t xml:space="preserve">a spin-out company will probably have to have multiple strands of income and keeping the company afloat rather than developing technology </w:t>
      </w:r>
      <w:r w:rsidR="003E6F61">
        <w:t>may become the dominating objective</w:t>
      </w:r>
    </w:p>
    <w:p w:rsidRPr="006461BD" w:rsidR="005913AC" w:rsidP="00CE5213" w:rsidRDefault="005913AC" w14:paraId="0FFC8A1F" w14:textId="77777777">
      <w:pPr>
        <w:pStyle w:val="Heading2"/>
      </w:pPr>
      <w:r w:rsidRPr="006461BD">
        <w:t>Project governance</w:t>
      </w:r>
    </w:p>
    <w:p w:rsidR="000157BE" w:rsidP="000157BE" w:rsidRDefault="000157BE" w14:paraId="664B8DFE" w14:textId="77777777">
      <w:r>
        <w:t xml:space="preserve">The projects will be </w:t>
      </w:r>
      <w:r w:rsidRPr="00CE5213">
        <w:rPr>
          <w:b/>
        </w:rPr>
        <w:t xml:space="preserve">governed by the NCC </w:t>
      </w:r>
      <w:r w:rsidR="00C07C61">
        <w:rPr>
          <w:b/>
        </w:rPr>
        <w:t xml:space="preserve">internal </w:t>
      </w:r>
      <w:r w:rsidRPr="00CE5213">
        <w:rPr>
          <w:b/>
        </w:rPr>
        <w:t>process</w:t>
      </w:r>
      <w:r w:rsidR="00C07C61">
        <w:rPr>
          <w:b/>
        </w:rPr>
        <w:t>es</w:t>
      </w:r>
      <w:r>
        <w:t>. Th</w:t>
      </w:r>
      <w:r w:rsidR="00C07C61">
        <w:t>ese</w:t>
      </w:r>
      <w:r>
        <w:t xml:space="preserve"> include a series of </w:t>
      </w:r>
      <w:r w:rsidR="00CE5213">
        <w:t>technical</w:t>
      </w:r>
      <w:r>
        <w:t xml:space="preserve"> gates</w:t>
      </w:r>
      <w:r w:rsidR="007C2F3A">
        <w:t xml:space="preserve"> overseen by the NCC </w:t>
      </w:r>
      <w:r w:rsidR="00C07C61">
        <w:t>Champions as well as by the project functions allocated internally:</w:t>
      </w:r>
      <w:r w:rsidR="00CE5213">
        <w:t xml:space="preserve"> all </w:t>
      </w:r>
      <w:r w:rsidR="00C07C61">
        <w:t>funded</w:t>
      </w:r>
      <w:r w:rsidR="00CE5213">
        <w:t xml:space="preserve"> proposals</w:t>
      </w:r>
      <w:r>
        <w:t xml:space="preserve"> </w:t>
      </w:r>
      <w:r w:rsidR="00C07C61">
        <w:t xml:space="preserve">will be assigned </w:t>
      </w:r>
      <w:r>
        <w:t xml:space="preserve">a Technical Authority, </w:t>
      </w:r>
      <w:r w:rsidR="00C07C61">
        <w:t xml:space="preserve">a </w:t>
      </w:r>
      <w:r>
        <w:t xml:space="preserve">Project </w:t>
      </w:r>
      <w:proofErr w:type="gramStart"/>
      <w:r>
        <w:t>Manager</w:t>
      </w:r>
      <w:proofErr w:type="gramEnd"/>
      <w:r>
        <w:t xml:space="preserve"> and </w:t>
      </w:r>
      <w:r w:rsidR="00C07C61">
        <w:t xml:space="preserve">an </w:t>
      </w:r>
      <w:r>
        <w:t>Independent Reviewer</w:t>
      </w:r>
      <w:r w:rsidR="00C74B42">
        <w:t xml:space="preserve"> by the oversight team</w:t>
      </w:r>
      <w:r w:rsidR="00F85F4A">
        <w:t>. These roles will be assigned to</w:t>
      </w:r>
      <w:r>
        <w:t xml:space="preserve"> </w:t>
      </w:r>
      <w:r w:rsidR="00F85F4A">
        <w:t xml:space="preserve">personnel </w:t>
      </w:r>
      <w:r>
        <w:t>within the NCC</w:t>
      </w:r>
      <w:r w:rsidR="00E547CD">
        <w:t xml:space="preserve"> or subcontracted to the NCC</w:t>
      </w:r>
      <w:r>
        <w:t>. The purpose of these rol</w:t>
      </w:r>
      <w:r w:rsidR="001572B1">
        <w:t>e</w:t>
      </w:r>
      <w:r>
        <w:t xml:space="preserve">s </w:t>
      </w:r>
      <w:proofErr w:type="gramStart"/>
      <w:r>
        <w:t>are</w:t>
      </w:r>
      <w:proofErr w:type="gramEnd"/>
      <w:r>
        <w:t>:</w:t>
      </w:r>
    </w:p>
    <w:p w:rsidR="000157BE" w:rsidP="000157BE" w:rsidRDefault="000157BE" w14:paraId="7B933518" w14:textId="77777777">
      <w:pPr>
        <w:pStyle w:val="ListParagraph"/>
        <w:numPr>
          <w:ilvl w:val="0"/>
          <w:numId w:val="8"/>
        </w:numPr>
      </w:pPr>
      <w:r w:rsidRPr="00CE5213">
        <w:rPr>
          <w:b/>
        </w:rPr>
        <w:t>Technical Authority</w:t>
      </w:r>
      <w:r>
        <w:t xml:space="preserve"> </w:t>
      </w:r>
      <w:r w:rsidR="00CE5213">
        <w:t xml:space="preserve">(TA) </w:t>
      </w:r>
      <w:r>
        <w:t>– technical lead of the project accountable for the technical</w:t>
      </w:r>
      <w:r w:rsidR="00F85F4A">
        <w:t xml:space="preserve"> quality of the</w:t>
      </w:r>
      <w:r>
        <w:t xml:space="preserve"> output </w:t>
      </w:r>
      <w:r w:rsidR="00F85F4A">
        <w:t>from</w:t>
      </w:r>
      <w:r>
        <w:t xml:space="preserve"> the project</w:t>
      </w:r>
      <w:r w:rsidR="00E547CD">
        <w:t>. This person will work for the NCC directly (either existing internal resource or a specifically subcontracted resource)</w:t>
      </w:r>
      <w:r w:rsidR="00F6258F">
        <w:t>.</w:t>
      </w:r>
    </w:p>
    <w:p w:rsidR="000157BE" w:rsidP="000157BE" w:rsidRDefault="000157BE" w14:paraId="5968C22B" w14:textId="77777777">
      <w:pPr>
        <w:pStyle w:val="ListParagraph"/>
        <w:numPr>
          <w:ilvl w:val="0"/>
          <w:numId w:val="8"/>
        </w:numPr>
      </w:pPr>
      <w:r w:rsidRPr="00CE5213">
        <w:rPr>
          <w:b/>
        </w:rPr>
        <w:t>Project manager</w:t>
      </w:r>
      <w:r>
        <w:t xml:space="preserve"> </w:t>
      </w:r>
      <w:r w:rsidR="00CE5213">
        <w:t>(PM)</w:t>
      </w:r>
      <w:r w:rsidR="00623E50">
        <w:t xml:space="preserve"> </w:t>
      </w:r>
      <w:r>
        <w:t xml:space="preserve">– accountable </w:t>
      </w:r>
      <w:r w:rsidR="00F85F4A">
        <w:t xml:space="preserve">for schedule, </w:t>
      </w:r>
      <w:proofErr w:type="gramStart"/>
      <w:r w:rsidR="00F85F4A">
        <w:t>finance</w:t>
      </w:r>
      <w:proofErr w:type="gramEnd"/>
      <w:r w:rsidR="00F85F4A">
        <w:t xml:space="preserve"> and delivery of the project</w:t>
      </w:r>
      <w:r w:rsidR="00F6258F">
        <w:t>.</w:t>
      </w:r>
    </w:p>
    <w:p w:rsidR="000157BE" w:rsidP="000157BE" w:rsidRDefault="000157BE" w14:paraId="22EDCD8E" w14:textId="4E0AC73D">
      <w:pPr>
        <w:pStyle w:val="ListParagraph"/>
        <w:numPr>
          <w:ilvl w:val="0"/>
          <w:numId w:val="8"/>
        </w:numPr>
      </w:pPr>
      <w:r w:rsidRPr="00CE5213">
        <w:rPr>
          <w:b/>
        </w:rPr>
        <w:t>Independent Reviewer</w:t>
      </w:r>
      <w:r>
        <w:t xml:space="preserve"> </w:t>
      </w:r>
      <w:r w:rsidR="00CE5213">
        <w:t xml:space="preserve">(IR) </w:t>
      </w:r>
      <w:r>
        <w:t xml:space="preserve">– </w:t>
      </w:r>
      <w:r w:rsidR="00525C35">
        <w:t xml:space="preserve">an NCC employee </w:t>
      </w:r>
      <w:r>
        <w:t xml:space="preserve">responsible for monitoring the quality of the output from the project. </w:t>
      </w:r>
      <w:r w:rsidR="00F6258F">
        <w:t xml:space="preserve">No deliverable from the project – physical or literature – will be released until the </w:t>
      </w:r>
      <w:r w:rsidR="003E6F61">
        <w:t>I</w:t>
      </w:r>
      <w:r w:rsidR="00F6258F">
        <w:t xml:space="preserve">ndependent </w:t>
      </w:r>
      <w:r w:rsidR="003E6F61">
        <w:t>R</w:t>
      </w:r>
      <w:r w:rsidR="00F6258F">
        <w:t xml:space="preserve">eviewer has authorised issue. </w:t>
      </w:r>
      <w:r>
        <w:t>This should not be confused with accountability</w:t>
      </w:r>
      <w:r w:rsidR="00C07C61">
        <w:t>, which</w:t>
      </w:r>
      <w:r>
        <w:t xml:space="preserve"> will remain with the Technical Authority</w:t>
      </w:r>
      <w:r w:rsidR="00F85F4A">
        <w:t xml:space="preserve">. </w:t>
      </w:r>
    </w:p>
    <w:p w:rsidR="000157BE" w:rsidP="00CE5213" w:rsidRDefault="00CE5213" w14:paraId="17F38393" w14:textId="77777777">
      <w:r>
        <w:t>T</w:t>
      </w:r>
      <w:r w:rsidR="00F85F4A">
        <w:t xml:space="preserve">he project team will be agreed </w:t>
      </w:r>
      <w:r w:rsidR="00C74B42">
        <w:t>by</w:t>
      </w:r>
      <w:r w:rsidR="00F85F4A">
        <w:t xml:space="preserve"> the NCC oversi</w:t>
      </w:r>
      <w:r w:rsidR="00DD7161">
        <w:t>ght</w:t>
      </w:r>
      <w:r w:rsidR="00F85F4A">
        <w:t xml:space="preserve"> team, the </w:t>
      </w:r>
      <w:proofErr w:type="gramStart"/>
      <w:r w:rsidR="00F85F4A">
        <w:t>PM</w:t>
      </w:r>
      <w:proofErr w:type="gramEnd"/>
      <w:r w:rsidR="00F85F4A">
        <w:t xml:space="preserve"> and the TA</w:t>
      </w:r>
      <w:r w:rsidR="00C74B42">
        <w:t>,</w:t>
      </w:r>
      <w:r w:rsidR="00BE1B2F">
        <w:t xml:space="preserve"> and assigned to the project. </w:t>
      </w:r>
      <w:r w:rsidR="00C74B42">
        <w:t>Such</w:t>
      </w:r>
      <w:r w:rsidR="00BE1B2F">
        <w:t xml:space="preserve"> team will contain personnel from the NCC and is likely to </w:t>
      </w:r>
      <w:r w:rsidRPr="00CE5213" w:rsidR="001572B1">
        <w:rPr>
          <w:b/>
        </w:rPr>
        <w:t xml:space="preserve">include </w:t>
      </w:r>
      <w:r w:rsidRPr="00CE5213" w:rsidR="00BE1B2F">
        <w:rPr>
          <w:b/>
        </w:rPr>
        <w:t>subcontracted expertise</w:t>
      </w:r>
      <w:r w:rsidR="00BE1B2F">
        <w:t xml:space="preserve"> from an academic partner</w:t>
      </w:r>
      <w:r w:rsidR="001572B1">
        <w:t xml:space="preserve">, generally the </w:t>
      </w:r>
      <w:r w:rsidRPr="00CE5213" w:rsidR="001572B1">
        <w:rPr>
          <w:b/>
        </w:rPr>
        <w:t>academic proposer</w:t>
      </w:r>
      <w:r w:rsidR="00BE1B2F">
        <w:t>.</w:t>
      </w:r>
      <w:r w:rsidR="00F3028D">
        <w:t xml:space="preserve"> </w:t>
      </w:r>
      <w:r w:rsidR="000157BE">
        <w:t xml:space="preserve">The project will be </w:t>
      </w:r>
      <w:r w:rsidRPr="00CE5213" w:rsidR="000157BE">
        <w:rPr>
          <w:b/>
        </w:rPr>
        <w:t>monitored against</w:t>
      </w:r>
      <w:r w:rsidR="000157BE">
        <w:t xml:space="preserve"> both the </w:t>
      </w:r>
      <w:r w:rsidRPr="00CE5213" w:rsidR="000157BE">
        <w:rPr>
          <w:b/>
        </w:rPr>
        <w:t>schedule</w:t>
      </w:r>
      <w:r w:rsidR="000157BE">
        <w:t xml:space="preserve"> and the </w:t>
      </w:r>
      <w:r w:rsidRPr="00CE5213" w:rsidR="000157BE">
        <w:rPr>
          <w:b/>
        </w:rPr>
        <w:t>budget</w:t>
      </w:r>
      <w:r w:rsidR="000157BE">
        <w:t xml:space="preserve"> with actions and mitigations put in place by the </w:t>
      </w:r>
      <w:r w:rsidR="00400652">
        <w:t>PM with agreement from</w:t>
      </w:r>
      <w:r w:rsidR="00BE1B2F">
        <w:t xml:space="preserve"> the</w:t>
      </w:r>
      <w:r w:rsidR="000157BE">
        <w:t xml:space="preserve"> NCC </w:t>
      </w:r>
      <w:r w:rsidR="00C74B42">
        <w:t>Champions</w:t>
      </w:r>
      <w:r w:rsidR="000157BE">
        <w:t xml:space="preserve"> if the project deviates from the original </w:t>
      </w:r>
      <w:r w:rsidR="00DE1C5A">
        <w:t>scope</w:t>
      </w:r>
      <w:r w:rsidR="000157BE">
        <w:t xml:space="preserve">. </w:t>
      </w:r>
      <w:r w:rsidR="00400652">
        <w:t xml:space="preserve">If the </w:t>
      </w:r>
      <w:r w:rsidR="00DE1C5A">
        <w:t>Champion</w:t>
      </w:r>
      <w:r w:rsidR="00400652">
        <w:t xml:space="preserve"> consider</w:t>
      </w:r>
      <w:r w:rsidR="00DE1C5A">
        <w:t>s</w:t>
      </w:r>
      <w:r w:rsidR="00400652">
        <w:t xml:space="preserve"> the </w:t>
      </w:r>
      <w:r w:rsidR="00DE1C5A">
        <w:t>project to be deviating from its</w:t>
      </w:r>
      <w:r w:rsidR="00400652">
        <w:t xml:space="preserve"> </w:t>
      </w:r>
      <w:r w:rsidR="00DE1C5A">
        <w:t>planned direction</w:t>
      </w:r>
      <w:r w:rsidR="00400652">
        <w:t>, the mitigation action may</w:t>
      </w:r>
      <w:r w:rsidR="000157BE">
        <w:t xml:space="preserve"> include the termination of the p</w:t>
      </w:r>
      <w:r w:rsidR="00DE1C5A">
        <w:t>roject</w:t>
      </w:r>
      <w:r w:rsidR="000157BE">
        <w:t>.</w:t>
      </w:r>
    </w:p>
    <w:p w:rsidR="00A16CF4" w:rsidP="00F3028D" w:rsidRDefault="00652AD4" w14:paraId="740B60B6" w14:textId="191FB650">
      <w:r>
        <w:t>The project</w:t>
      </w:r>
      <w:r w:rsidR="000157BE">
        <w:t xml:space="preserve"> will be reviewed on a pre-set frequency. The frequency of th</w:t>
      </w:r>
      <w:r w:rsidR="00DD7161">
        <w:t>e</w:t>
      </w:r>
      <w:r w:rsidR="000157BE">
        <w:t xml:space="preserve"> project reviews will be dependent on the scale and term of the project</w:t>
      </w:r>
      <w:r w:rsidR="00BE1B2F">
        <w:t xml:space="preserve"> a</w:t>
      </w:r>
      <w:r>
        <w:t xml:space="preserve">nd outlined at the kick-off </w:t>
      </w:r>
      <w:r w:rsidR="00DE1C5A">
        <w:t>stage</w:t>
      </w:r>
      <w:r w:rsidR="000157BE">
        <w:t>. However, as a minimum</w:t>
      </w:r>
      <w:r w:rsidR="00DE1C5A">
        <w:t>,</w:t>
      </w:r>
      <w:r w:rsidR="000157BE">
        <w:t xml:space="preserve"> the reviews will be held </w:t>
      </w:r>
      <w:proofErr w:type="gramStart"/>
      <w:r w:rsidR="000157BE">
        <w:t>on a monthly basis</w:t>
      </w:r>
      <w:proofErr w:type="gramEnd"/>
      <w:r w:rsidR="000157BE">
        <w:t>.</w:t>
      </w:r>
      <w:r w:rsidR="00F3028D">
        <w:t xml:space="preserve"> </w:t>
      </w:r>
      <w:r w:rsidR="00400652">
        <w:t>The project will be considered complete when the final deliverable has been officially completed</w:t>
      </w:r>
      <w:r w:rsidR="001572B1">
        <w:t xml:space="preserve">, with </w:t>
      </w:r>
      <w:r w:rsidR="00DE1C5A">
        <w:t>I</w:t>
      </w:r>
      <w:r w:rsidR="001572B1">
        <w:t>ndependent Reviewer sign-off</w:t>
      </w:r>
      <w:r w:rsidR="00400652">
        <w:t>.</w:t>
      </w:r>
    </w:p>
    <w:p w:rsidR="005913AC" w:rsidP="00CE5213" w:rsidRDefault="005913AC" w14:paraId="738A1CCD" w14:textId="6BB6EC6C">
      <w:pPr>
        <w:pStyle w:val="Heading2"/>
      </w:pPr>
      <w:r w:rsidRPr="006461BD">
        <w:t>I</w:t>
      </w:r>
      <w:r w:rsidR="003E6F61">
        <w:t>ntellectual Property</w:t>
      </w:r>
      <w:r w:rsidRPr="006461BD">
        <w:t xml:space="preserve"> </w:t>
      </w:r>
      <w:r w:rsidR="003E6F61">
        <w:t>management</w:t>
      </w:r>
    </w:p>
    <w:p w:rsidR="00A55B7F" w:rsidP="006461BD" w:rsidRDefault="000A0BD1" w14:paraId="147FD9E3" w14:textId="2564C841">
      <w:pPr>
        <w:pStyle w:val="ListParagraph"/>
        <w:ind w:left="0"/>
      </w:pPr>
      <w:r>
        <w:t>Intellectual Property (</w:t>
      </w:r>
      <w:r w:rsidR="005E41E0">
        <w:t>IP</w:t>
      </w:r>
      <w:r>
        <w:t>)</w:t>
      </w:r>
      <w:r w:rsidR="005E41E0">
        <w:t xml:space="preserve"> </w:t>
      </w:r>
      <w:r w:rsidR="003E6F61">
        <w:t xml:space="preserve">management terms </w:t>
      </w:r>
      <w:r w:rsidR="005E41E0">
        <w:t xml:space="preserve">will be part of a Collaboration Agreement to be put in place on a </w:t>
      </w:r>
      <w:r w:rsidR="000D251C">
        <w:t>case-by-case</w:t>
      </w:r>
      <w:r w:rsidR="005E41E0">
        <w:t xml:space="preserve"> basis</w:t>
      </w:r>
      <w:r w:rsidR="003E6F61">
        <w:t xml:space="preserve"> between the NCC and the academic partner</w:t>
      </w:r>
      <w:r w:rsidR="005E41E0">
        <w:t xml:space="preserve">. </w:t>
      </w:r>
      <w:r>
        <w:t xml:space="preserve">The API wishing to apply to TPT funding will be given visibility of such agreement prior to submission. </w:t>
      </w:r>
      <w:r w:rsidR="005E41E0">
        <w:t>The IP is managed according to the following principles</w:t>
      </w:r>
      <w:r w:rsidR="00A55B7F">
        <w:t>:</w:t>
      </w:r>
    </w:p>
    <w:p w:rsidR="005E41E0" w:rsidP="006461BD" w:rsidRDefault="005E41E0" w14:paraId="07D6A539" w14:textId="77777777">
      <w:pPr>
        <w:pStyle w:val="ListParagraph"/>
        <w:ind w:left="0"/>
      </w:pPr>
    </w:p>
    <w:p w:rsidR="005E41E0" w:rsidP="00DE1C5A" w:rsidRDefault="005E41E0" w14:paraId="508D2152" w14:textId="50F223F5">
      <w:pPr>
        <w:pStyle w:val="ListParagraph"/>
        <w:numPr>
          <w:ilvl w:val="0"/>
          <w:numId w:val="19"/>
        </w:numPr>
      </w:pPr>
      <w:r>
        <w:t xml:space="preserve">The </w:t>
      </w:r>
      <w:r w:rsidR="00DF1BCB">
        <w:t xml:space="preserve">relevant </w:t>
      </w:r>
      <w:r>
        <w:t xml:space="preserve">background IP owned by the </w:t>
      </w:r>
      <w:r w:rsidR="00502858">
        <w:t>academic institution</w:t>
      </w:r>
      <w:r>
        <w:t xml:space="preserve"> at the point of project start remains th</w:t>
      </w:r>
      <w:r w:rsidR="00652AD4">
        <w:t xml:space="preserve">e property of the </w:t>
      </w:r>
      <w:r w:rsidR="003E6F61">
        <w:t>academic institution</w:t>
      </w:r>
      <w:r w:rsidR="0048650D">
        <w:t>.</w:t>
      </w:r>
    </w:p>
    <w:p w:rsidR="00DF1BCB" w:rsidP="00DE1C5A" w:rsidRDefault="00DF1BCB" w14:paraId="514427AC" w14:textId="745A5C85">
      <w:pPr>
        <w:pStyle w:val="ListParagraph"/>
        <w:numPr>
          <w:ilvl w:val="0"/>
          <w:numId w:val="19"/>
        </w:numPr>
      </w:pPr>
      <w:r>
        <w:lastRenderedPageBreak/>
        <w:t>The relevant background IP owned by the NCC at the point of project start remains the property of the NCC</w:t>
      </w:r>
      <w:r w:rsidR="0048650D">
        <w:t>.</w:t>
      </w:r>
    </w:p>
    <w:p w:rsidR="005E41E0" w:rsidP="00DE1C5A" w:rsidRDefault="005E41E0" w14:paraId="3EB2C601" w14:textId="499C5772">
      <w:pPr>
        <w:pStyle w:val="ListParagraph"/>
        <w:numPr>
          <w:ilvl w:val="0"/>
          <w:numId w:val="19"/>
        </w:numPr>
      </w:pPr>
      <w:r>
        <w:t>Any foreground IP developed during the project will be owned b</w:t>
      </w:r>
      <w:r w:rsidR="00652AD4">
        <w:t>y the NCC</w:t>
      </w:r>
      <w:r w:rsidR="003E6F61">
        <w:t xml:space="preserve">, and </w:t>
      </w:r>
      <w:r w:rsidR="00652AD4">
        <w:t xml:space="preserve">academic </w:t>
      </w:r>
      <w:r w:rsidR="003E6F61">
        <w:t>institution</w:t>
      </w:r>
      <w:r w:rsidR="00DB1154">
        <w:t xml:space="preserve"> </w:t>
      </w:r>
      <w:r w:rsidR="003E6F61">
        <w:t xml:space="preserve">will be </w:t>
      </w:r>
      <w:r w:rsidR="00DB1154">
        <w:t xml:space="preserve">granted a </w:t>
      </w:r>
      <w:r w:rsidRPr="00DB1154" w:rsidR="00DB1154">
        <w:t>perpetual, irrevocable, non-exclusive, non-transferrable, non</w:t>
      </w:r>
      <w:r w:rsidR="003E6F61">
        <w:noBreakHyphen/>
      </w:r>
      <w:r w:rsidRPr="00DB1154" w:rsidR="00DB1154">
        <w:t>sub</w:t>
      </w:r>
      <w:r w:rsidR="003E6F61">
        <w:noBreakHyphen/>
      </w:r>
      <w:r w:rsidRPr="00DB1154" w:rsidR="00DB1154">
        <w:t>licensable and royalty</w:t>
      </w:r>
      <w:r w:rsidR="003E6F61">
        <w:t>-</w:t>
      </w:r>
      <w:r w:rsidRPr="00DB1154" w:rsidR="00DB1154">
        <w:t xml:space="preserve">free licence to use the </w:t>
      </w:r>
      <w:r w:rsidR="00DB1154">
        <w:t>f</w:t>
      </w:r>
      <w:r w:rsidRPr="00DB1154" w:rsidR="00DB1154">
        <w:t>oreground IP for research and teaching purposes</w:t>
      </w:r>
      <w:r w:rsidR="0048650D">
        <w:t>.</w:t>
      </w:r>
    </w:p>
    <w:p w:rsidR="00DB1154" w:rsidP="00DE1C5A" w:rsidRDefault="00DB1154" w14:paraId="6FDF5979" w14:textId="45DD2C1D">
      <w:pPr>
        <w:pStyle w:val="ListParagraph"/>
        <w:numPr>
          <w:ilvl w:val="0"/>
          <w:numId w:val="19"/>
        </w:numPr>
      </w:pPr>
      <w:r w:rsidRPr="00DB1154">
        <w:t xml:space="preserve">Should </w:t>
      </w:r>
      <w:r w:rsidRPr="003E6F61">
        <w:rPr>
          <w:b/>
          <w:bCs/>
        </w:rPr>
        <w:t>either</w:t>
      </w:r>
      <w:r>
        <w:t xml:space="preserve"> the NCC or </w:t>
      </w:r>
      <w:r w:rsidR="003E6F61">
        <w:t>the academic institution</w:t>
      </w:r>
      <w:r w:rsidRPr="00DB1154">
        <w:t xml:space="preserve"> wish to commercially exploit </w:t>
      </w:r>
      <w:r>
        <w:t>the</w:t>
      </w:r>
      <w:r w:rsidRPr="00DB1154">
        <w:t xml:space="preserve"> </w:t>
      </w:r>
      <w:r w:rsidR="003E6F61">
        <w:t>f</w:t>
      </w:r>
      <w:r w:rsidRPr="00DB1154">
        <w:t xml:space="preserve">oreground IP </w:t>
      </w:r>
      <w:r>
        <w:t xml:space="preserve">generated within the project </w:t>
      </w:r>
      <w:r w:rsidRPr="00DB1154">
        <w:t>within five years from the end of th</w:t>
      </w:r>
      <w:r w:rsidR="003E6F61">
        <w:t>e Collaboration</w:t>
      </w:r>
      <w:r w:rsidRPr="00DB1154">
        <w:t xml:space="preserve"> Agreement, then th</w:t>
      </w:r>
      <w:r w:rsidR="003E6F61">
        <w:t xml:space="preserve">e two parties will </w:t>
      </w:r>
      <w:r w:rsidRPr="00DB1154">
        <w:t xml:space="preserve">meet to determine the exploitation rights of such </w:t>
      </w:r>
      <w:r w:rsidR="003E6F61">
        <w:t>f</w:t>
      </w:r>
      <w:r w:rsidRPr="00DB1154">
        <w:t>oreground IP</w:t>
      </w:r>
      <w:r w:rsidR="0048650D">
        <w:t xml:space="preserve">. Such negotiation will </w:t>
      </w:r>
      <w:proofErr w:type="gramStart"/>
      <w:r w:rsidR="0048650D">
        <w:t>take into account</w:t>
      </w:r>
      <w:proofErr w:type="gramEnd"/>
      <w:r w:rsidR="0048650D">
        <w:t xml:space="preserve"> background IP brought into the programme to reflect fairly the research efforts of each party prior to the TPT project launch. </w:t>
      </w:r>
    </w:p>
    <w:p w:rsidR="005E41E0" w:rsidP="00DE1C5A" w:rsidRDefault="005E41E0" w14:paraId="6B62EA01" w14:textId="0DD39772">
      <w:pPr>
        <w:pStyle w:val="ListParagraph"/>
        <w:numPr>
          <w:ilvl w:val="0"/>
          <w:numId w:val="19"/>
        </w:numPr>
      </w:pPr>
      <w:r>
        <w:t>The academic lea</w:t>
      </w:r>
      <w:r w:rsidR="00DF1BCB">
        <w:t>d will make its relevant background IP a</w:t>
      </w:r>
      <w:r>
        <w:t>va</w:t>
      </w:r>
      <w:r w:rsidR="00DF1BCB">
        <w:t>i</w:t>
      </w:r>
      <w:r>
        <w:t>lable to the NCC on fair an</w:t>
      </w:r>
      <w:r w:rsidR="00DF1BCB">
        <w:t>d reasonable terms to enable this and future</w:t>
      </w:r>
      <w:r>
        <w:t xml:space="preserve"> </w:t>
      </w:r>
      <w:r w:rsidR="00DF1BCB">
        <w:t>projects to be carried</w:t>
      </w:r>
      <w:r w:rsidR="00652AD4">
        <w:t xml:space="preserve"> out and commercialised</w:t>
      </w:r>
      <w:r w:rsidR="0048650D">
        <w:t>.</w:t>
      </w:r>
    </w:p>
    <w:p w:rsidR="005E41E0" w:rsidP="00F3028D" w:rsidRDefault="00DF1BCB" w14:paraId="4CB819CE" w14:textId="09659A87">
      <w:pPr>
        <w:pStyle w:val="ListParagraph"/>
        <w:numPr>
          <w:ilvl w:val="0"/>
          <w:numId w:val="19"/>
        </w:numPr>
      </w:pPr>
      <w:r>
        <w:t>The NCC will make its relevant background IP available to the academic lead on fair and reasonable terms to enable this and future projects to be</w:t>
      </w:r>
      <w:r w:rsidR="00652AD4">
        <w:t xml:space="preserve"> carried out and commercialised</w:t>
      </w:r>
      <w:r w:rsidR="0048650D">
        <w:t>.</w:t>
      </w:r>
    </w:p>
    <w:p w:rsidRPr="006461BD" w:rsidR="005913AC" w:rsidP="00652AD4" w:rsidRDefault="005913AC" w14:paraId="4DC2CDF9" w14:textId="436E0B75">
      <w:pPr>
        <w:pStyle w:val="Heading2"/>
      </w:pPr>
      <w:r w:rsidRPr="006461BD">
        <w:t>P</w:t>
      </w:r>
      <w:r w:rsidRPr="006461BD" w:rsidR="00020BAE">
        <w:t>ost project</w:t>
      </w:r>
      <w:r w:rsidR="003E6F61">
        <w:t>:</w:t>
      </w:r>
      <w:r w:rsidRPr="006461BD" w:rsidR="00020BAE">
        <w:t xml:space="preserve"> what </w:t>
      </w:r>
      <w:r w:rsidR="0048650D">
        <w:t>happens next</w:t>
      </w:r>
      <w:r w:rsidR="00DE1C5A">
        <w:t>?</w:t>
      </w:r>
    </w:p>
    <w:p w:rsidR="00020BAE" w:rsidP="005913AC" w:rsidRDefault="00020BAE" w14:paraId="4564B701" w14:textId="77777777">
      <w:r>
        <w:t>Post project assessment</w:t>
      </w:r>
      <w:r w:rsidR="00652AD4">
        <w:t xml:space="preserve"> will be carried out to allow the NCC and the academic partners</w:t>
      </w:r>
      <w:r>
        <w:t xml:space="preserve"> to develop the offering and process over </w:t>
      </w:r>
      <w:r w:rsidR="004523E4">
        <w:t xml:space="preserve">time. Multiple potential outcomes </w:t>
      </w:r>
      <w:r w:rsidR="00DE1C5A">
        <w:t>are</w:t>
      </w:r>
      <w:r w:rsidR="004523E4">
        <w:t xml:space="preserve"> envisaged:</w:t>
      </w:r>
    </w:p>
    <w:p w:rsidR="004523E4" w:rsidP="004523E4" w:rsidRDefault="004523E4" w14:paraId="43CD6A45" w14:textId="77777777">
      <w:pPr>
        <w:pStyle w:val="ListParagraph"/>
        <w:numPr>
          <w:ilvl w:val="0"/>
          <w:numId w:val="6"/>
        </w:numPr>
      </w:pPr>
      <w:r>
        <w:t>Technology development is successful and ready for implementation in commercial environment via licensing or spin-out</w:t>
      </w:r>
      <w:r w:rsidR="00E43448">
        <w:t>.</w:t>
      </w:r>
    </w:p>
    <w:p w:rsidR="004523E4" w:rsidP="004523E4" w:rsidRDefault="004523E4" w14:paraId="3A72A8CA" w14:textId="05A4797F">
      <w:pPr>
        <w:pStyle w:val="ListParagraph"/>
        <w:numPr>
          <w:ilvl w:val="0"/>
          <w:numId w:val="6"/>
        </w:numPr>
      </w:pPr>
      <w:r>
        <w:t>Technology development is successful but requires additional mid</w:t>
      </w:r>
      <w:r w:rsidR="003E6F61">
        <w:t>-</w:t>
      </w:r>
      <w:r>
        <w:t xml:space="preserve">TRL development through </w:t>
      </w:r>
      <w:proofErr w:type="spellStart"/>
      <w:r>
        <w:t>I</w:t>
      </w:r>
      <w:r w:rsidR="003E6F61">
        <w:t>nnovate</w:t>
      </w:r>
      <w:r>
        <w:t>UK</w:t>
      </w:r>
      <w:proofErr w:type="spellEnd"/>
      <w:r>
        <w:t xml:space="preserve"> or similar funding</w:t>
      </w:r>
      <w:r w:rsidR="003E6F61">
        <w:t xml:space="preserve"> streams</w:t>
      </w:r>
      <w:r w:rsidR="00DE1C5A">
        <w:t>; the</w:t>
      </w:r>
      <w:r>
        <w:t xml:space="preserve"> NCC </w:t>
      </w:r>
      <w:r w:rsidR="00DE1C5A">
        <w:t xml:space="preserve">considers </w:t>
      </w:r>
      <w:r>
        <w:t>opportunity sufficient to justify investing further funds.</w:t>
      </w:r>
    </w:p>
    <w:p w:rsidR="004523E4" w:rsidP="004523E4" w:rsidRDefault="004523E4" w14:paraId="5BC23169" w14:textId="2790C3C2">
      <w:pPr>
        <w:pStyle w:val="ListParagraph"/>
        <w:numPr>
          <w:ilvl w:val="0"/>
          <w:numId w:val="6"/>
        </w:numPr>
      </w:pPr>
      <w:r>
        <w:t>Technology development is successful but requires additional mid</w:t>
      </w:r>
      <w:r w:rsidR="003E6F61">
        <w:t>-</w:t>
      </w:r>
      <w:r>
        <w:t>TRL development</w:t>
      </w:r>
      <w:r w:rsidR="00DE1C5A">
        <w:t xml:space="preserve"> through </w:t>
      </w:r>
      <w:proofErr w:type="spellStart"/>
      <w:r w:rsidR="00DE1C5A">
        <w:t>I</w:t>
      </w:r>
      <w:r w:rsidR="003E6F61">
        <w:t>nnovate</w:t>
      </w:r>
      <w:r w:rsidR="00DE1C5A">
        <w:t>UK</w:t>
      </w:r>
      <w:proofErr w:type="spellEnd"/>
      <w:r w:rsidR="00DE1C5A">
        <w:t xml:space="preserve"> or similar funding</w:t>
      </w:r>
      <w:r w:rsidR="003E6F61">
        <w:t xml:space="preserve"> streams</w:t>
      </w:r>
      <w:r w:rsidR="00DE1C5A">
        <w:t xml:space="preserve">; </w:t>
      </w:r>
      <w:r w:rsidR="003E6F61">
        <w:t>t</w:t>
      </w:r>
      <w:r w:rsidR="00DE1C5A">
        <w:t>he</w:t>
      </w:r>
      <w:r>
        <w:t xml:space="preserve"> NCC </w:t>
      </w:r>
      <w:r w:rsidR="00DE1C5A">
        <w:t xml:space="preserve">does not consider the </w:t>
      </w:r>
      <w:r>
        <w:t>opportunity sufficient to justify investing further funds.</w:t>
      </w:r>
    </w:p>
    <w:p w:rsidR="004523E4" w:rsidP="004523E4" w:rsidRDefault="004523E4" w14:paraId="43EE75CA" w14:textId="195FA01C">
      <w:pPr>
        <w:pStyle w:val="ListParagraph"/>
        <w:numPr>
          <w:ilvl w:val="0"/>
          <w:numId w:val="6"/>
        </w:numPr>
      </w:pPr>
      <w:r>
        <w:t xml:space="preserve">Technology development process has demonstrated significant limitations requiring more work in </w:t>
      </w:r>
      <w:r w:rsidR="0069572B">
        <w:t>u</w:t>
      </w:r>
      <w:r>
        <w:t>niversity space</w:t>
      </w:r>
      <w:r w:rsidR="00E43448">
        <w:t>.</w:t>
      </w:r>
    </w:p>
    <w:p w:rsidR="003D1E3F" w:rsidRDefault="004523E4" w14:paraId="2E29AEC2" w14:textId="12E877B9">
      <w:pPr>
        <w:pStyle w:val="ListParagraph"/>
        <w:numPr>
          <w:ilvl w:val="0"/>
          <w:numId w:val="6"/>
        </w:numPr>
      </w:pPr>
      <w:r>
        <w:t xml:space="preserve">Technology development process has demonstrated significant flaws limiting </w:t>
      </w:r>
      <w:r w:rsidR="00DE1C5A">
        <w:t>the</w:t>
      </w:r>
      <w:r>
        <w:t xml:space="preserve"> potential for</w:t>
      </w:r>
      <w:r w:rsidR="00DE1C5A">
        <w:t xml:space="preserve"> further</w:t>
      </w:r>
      <w:r w:rsidR="00F3028D">
        <w:t xml:space="preserve"> development</w:t>
      </w:r>
      <w:r w:rsidR="00E43448">
        <w:t>.</w:t>
      </w:r>
    </w:p>
    <w:p w:rsidRPr="0084014C" w:rsidR="0084014C" w:rsidP="00EE3FFF" w:rsidRDefault="0084014C" w14:paraId="72E014DC" w14:textId="77777777"/>
    <w:p w:rsidR="0084014C" w:rsidP="00EE3FFF" w:rsidRDefault="0084014C" w14:paraId="33D4C0A5" w14:textId="419CA1D9"/>
    <w:p w:rsidR="0005523A" w:rsidP="00EE3FFF" w:rsidRDefault="0005523A" w14:paraId="30F9E410" w14:textId="7DAF18AB"/>
    <w:p w:rsidR="0005523A" w:rsidP="00EE3FFF" w:rsidRDefault="0005523A" w14:paraId="415256AD" w14:textId="0ED3FCBF"/>
    <w:p w:rsidRPr="0084014C" w:rsidR="00E41EDE" w:rsidP="00EE3FFF" w:rsidRDefault="00E41EDE" w14:paraId="14823B59" w14:textId="77777777"/>
    <w:p w:rsidRPr="00F3028D" w:rsidR="00EE3FFF" w:rsidP="00EE3FFF" w:rsidRDefault="00F3028D" w14:paraId="7DD594CF" w14:textId="07BA14F9">
      <w:pPr>
        <w:rPr>
          <w:rFonts w:ascii="Arial" w:hAnsi="Arial" w:cs="Arial"/>
          <w:sz w:val="16"/>
          <w:szCs w:val="16"/>
        </w:rPr>
      </w:pPr>
      <w:r w:rsidRPr="0045093D">
        <w:rPr>
          <w:rFonts w:ascii="Arial" w:hAnsi="Arial" w:cs="Arial"/>
          <w:b/>
          <w:bCs/>
          <w:sz w:val="16"/>
          <w:szCs w:val="16"/>
        </w:rPr>
        <w:t xml:space="preserve">© National Composites Centre (NCC). All rights reserved. Confidential and proprietary document. </w:t>
      </w:r>
      <w:r w:rsidRPr="0045093D">
        <w:rPr>
          <w:rFonts w:ascii="Arial" w:hAnsi="Arial" w:cs="Arial"/>
          <w:sz w:val="16"/>
          <w:szCs w:val="16"/>
        </w:rPr>
        <w:t>This document and all information contained herein is the sole property of NCC. No intellectual property rights are granted by the delivery of this document or the disclosure of its content. This document shall not be reproduced or disclosed to a third party without the express written consent of NCC. This document and its content shall not be used for any purpose other than that for which it is supplied. The statements made herein do not constitute an offer. They are based on the mentioned assumptions and are expressed in good faith.</w:t>
      </w:r>
    </w:p>
    <w:sectPr w:rsidRPr="00F3028D" w:rsidR="00EE3FFF" w:rsidSect="00A14B5B">
      <w:headerReference w:type="default" r:id="rId13"/>
      <w:footerReference w:type="default" r:id="rId14"/>
      <w:pgSz w:w="11906" w:h="16838" w:orient="portrait"/>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60A" w:rsidP="00AE73AF" w:rsidRDefault="0085660A" w14:paraId="3AA03A9E" w14:textId="77777777">
      <w:pPr>
        <w:spacing w:after="0" w:line="240" w:lineRule="auto"/>
      </w:pPr>
      <w:r>
        <w:separator/>
      </w:r>
    </w:p>
  </w:endnote>
  <w:endnote w:type="continuationSeparator" w:id="0">
    <w:p w:rsidR="0085660A" w:rsidP="00AE73AF" w:rsidRDefault="0085660A" w14:paraId="7838F6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E7E6E6" w:themeColor="background2" w:sz="2" w:space="0"/>
      </w:tblBorders>
      <w:tblLayout w:type="fixed"/>
      <w:tblCellMar>
        <w:top w:w="227" w:type="dxa"/>
        <w:left w:w="0" w:type="dxa"/>
        <w:right w:w="0" w:type="dxa"/>
      </w:tblCellMar>
      <w:tblLook w:val="04A0" w:firstRow="1" w:lastRow="0" w:firstColumn="1" w:lastColumn="0" w:noHBand="0" w:noVBand="1"/>
    </w:tblPr>
    <w:tblGrid>
      <w:gridCol w:w="7698"/>
      <w:gridCol w:w="1328"/>
    </w:tblGrid>
    <w:tr w:rsidR="00901D99" w:rsidTr="00AF7A5E" w14:paraId="39004EB4" w14:textId="77777777">
      <w:trPr>
        <w:cantSplit/>
      </w:trPr>
      <w:tc>
        <w:tcPr>
          <w:tcW w:w="8222" w:type="dxa"/>
        </w:tcPr>
        <w:p w:rsidR="00901D99" w:rsidP="00901D99" w:rsidRDefault="00901D99" w14:paraId="02A86BA8" w14:textId="77777777">
          <w:pPr>
            <w:pStyle w:val="Footer"/>
            <w:rPr>
              <w:sz w:val="18"/>
            </w:rPr>
          </w:pPr>
          <w:r w:rsidRPr="00901D99">
            <w:rPr>
              <w:sz w:val="18"/>
            </w:rPr>
            <w:t>© NCC Operations Limited (NCCOL). All rights reserved. Confidential and proprietary document.</w:t>
          </w:r>
        </w:p>
        <w:p w:rsidRPr="00901D99" w:rsidR="004D1DC2" w:rsidP="00901D99" w:rsidRDefault="004D1DC2" w14:paraId="1236C7E7" w14:textId="77777777">
          <w:pPr>
            <w:pStyle w:val="Footer"/>
            <w:rPr>
              <w:sz w:val="18"/>
            </w:rPr>
          </w:pPr>
        </w:p>
      </w:tc>
      <w:tc>
        <w:tcPr>
          <w:tcW w:w="1417" w:type="dxa"/>
        </w:tcPr>
        <w:p w:rsidRPr="00901D99" w:rsidR="00901D99" w:rsidP="00901D99" w:rsidRDefault="00901D99" w14:paraId="5A9FA16A" w14:textId="77777777">
          <w:pPr>
            <w:pStyle w:val="Footer"/>
            <w:jc w:val="right"/>
            <w:rPr>
              <w:sz w:val="18"/>
            </w:rPr>
          </w:pPr>
          <w:r w:rsidRPr="00901D99">
            <w:rPr>
              <w:sz w:val="18"/>
            </w:rPr>
            <w:t xml:space="preserve">Page </w:t>
          </w:r>
          <w:r w:rsidRPr="00901D99">
            <w:rPr>
              <w:sz w:val="18"/>
            </w:rPr>
            <w:fldChar w:fldCharType="begin"/>
          </w:r>
          <w:r w:rsidRPr="00901D99">
            <w:rPr>
              <w:sz w:val="18"/>
            </w:rPr>
            <w:instrText xml:space="preserve"> PAGE  \* Arabic </w:instrText>
          </w:r>
          <w:r w:rsidRPr="00901D99">
            <w:rPr>
              <w:sz w:val="18"/>
            </w:rPr>
            <w:fldChar w:fldCharType="separate"/>
          </w:r>
          <w:r w:rsidR="005D7A6C">
            <w:rPr>
              <w:noProof/>
              <w:sz w:val="18"/>
            </w:rPr>
            <w:t>4</w:t>
          </w:r>
          <w:r w:rsidRPr="00901D99">
            <w:rPr>
              <w:sz w:val="18"/>
            </w:rPr>
            <w:fldChar w:fldCharType="end"/>
          </w:r>
          <w:r w:rsidRPr="00901D99">
            <w:rPr>
              <w:sz w:val="18"/>
            </w:rPr>
            <w:t xml:space="preserve"> of </w:t>
          </w:r>
          <w:r w:rsidRPr="00901D99">
            <w:rPr>
              <w:sz w:val="18"/>
            </w:rPr>
            <w:fldChar w:fldCharType="begin"/>
          </w:r>
          <w:r w:rsidRPr="00901D99">
            <w:rPr>
              <w:sz w:val="18"/>
            </w:rPr>
            <w:instrText xml:space="preserve"> NUMPAGES  \* Arabic </w:instrText>
          </w:r>
          <w:r w:rsidRPr="00901D99">
            <w:rPr>
              <w:sz w:val="18"/>
            </w:rPr>
            <w:fldChar w:fldCharType="separate"/>
          </w:r>
          <w:r w:rsidR="005D7A6C">
            <w:rPr>
              <w:noProof/>
              <w:sz w:val="18"/>
            </w:rPr>
            <w:t>5</w:t>
          </w:r>
          <w:r w:rsidRPr="00901D99">
            <w:rPr>
              <w:noProof/>
              <w:sz w:val="18"/>
            </w:rPr>
            <w:fldChar w:fldCharType="end"/>
          </w:r>
        </w:p>
      </w:tc>
    </w:tr>
  </w:tbl>
  <w:p w:rsidR="00901D99" w:rsidP="0084014C" w:rsidRDefault="00901D99" w14:paraId="5BD818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60A" w:rsidP="00AE73AF" w:rsidRDefault="0085660A" w14:paraId="64210537" w14:textId="77777777">
      <w:pPr>
        <w:spacing w:after="0" w:line="240" w:lineRule="auto"/>
      </w:pPr>
      <w:r>
        <w:separator/>
      </w:r>
    </w:p>
  </w:footnote>
  <w:footnote w:type="continuationSeparator" w:id="0">
    <w:p w:rsidR="0085660A" w:rsidP="00AE73AF" w:rsidRDefault="0085660A" w14:paraId="50922748" w14:textId="77777777">
      <w:pPr>
        <w:spacing w:after="0" w:line="240" w:lineRule="auto"/>
      </w:pPr>
      <w:r>
        <w:continuationSeparator/>
      </w:r>
    </w:p>
  </w:footnote>
  <w:footnote w:id="1">
    <w:p w:rsidR="0069572B" w:rsidP="0069572B" w:rsidRDefault="0069572B" w14:paraId="1BFF0A89" w14:textId="77777777">
      <w:pPr>
        <w:pStyle w:val="FootnoteText"/>
        <w:jc w:val="left"/>
      </w:pPr>
      <w:r>
        <w:rPr>
          <w:rStyle w:val="FootnoteReference"/>
        </w:rPr>
        <w:footnoteRef/>
      </w:r>
      <w:r>
        <w:t xml:space="preserve"> The NASA TRL definition may be used for reference: </w:t>
      </w:r>
      <w:hyperlink w:history="1" r:id="rId1">
        <w:r w:rsidRPr="00B30989">
          <w:rPr>
            <w:rStyle w:val="Hyperlink"/>
          </w:rPr>
          <w:t>https://www.nasa.gov/pdf/458490main_TRL_Definitions.pdf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tbl>
    <w:tblPr>
      <w:tblW w:w="5000" w:type="pct"/>
      <w:tblLook w:val="0000" w:firstRow="0" w:lastRow="0" w:firstColumn="0" w:lastColumn="0" w:noHBand="0" w:noVBand="0"/>
    </w:tblPr>
    <w:tblGrid>
      <w:gridCol w:w="5581"/>
      <w:gridCol w:w="3415"/>
    </w:tblGrid>
    <w:tr w:rsidRPr="002969DA" w:rsidR="00583E51" w:rsidTr="002969DA" w14:paraId="5D398838" w14:textId="77777777">
      <w:trPr>
        <w:trHeight w:val="1428"/>
      </w:trPr>
      <w:tc>
        <w:tcPr>
          <w:tcW w:w="3102" w:type="pct"/>
          <w:tcBorders>
            <w:top w:val="single" w:color="595959" w:themeColor="text1" w:themeTint="A6" w:sz="12" w:space="0"/>
            <w:left w:val="single" w:color="595959" w:themeColor="text1" w:themeTint="A6" w:sz="12" w:space="0"/>
            <w:bottom w:val="single" w:color="595959" w:themeColor="text1" w:themeTint="A6" w:sz="12" w:space="0"/>
          </w:tcBorders>
          <w:shd w:val="solid" w:color="FFFFFF" w:fill="auto"/>
          <w:vAlign w:val="center"/>
        </w:tcPr>
        <w:p w:rsidRPr="002969DA" w:rsidR="00583E51" w:rsidP="001C73EF" w:rsidRDefault="00583E51" w14:paraId="068A277E" w14:textId="7CAACC50">
          <w:pPr>
            <w:spacing w:after="0"/>
            <w:jc w:val="left"/>
            <w:rPr>
              <w:rFonts w:asciiTheme="majorHAnsi" w:hAnsiTheme="majorHAnsi" w:cstheme="majorHAnsi"/>
              <w:sz w:val="36"/>
            </w:rPr>
          </w:pPr>
          <w:r w:rsidRPr="002969DA">
            <w:rPr>
              <w:rFonts w:asciiTheme="majorHAnsi" w:hAnsiTheme="majorHAnsi" w:cstheme="majorHAnsi"/>
              <w:sz w:val="36"/>
            </w:rPr>
            <w:t>Technology Pull-Through Pro</w:t>
          </w:r>
          <w:r w:rsidRPr="002969DA" w:rsidR="001C73EF">
            <w:rPr>
              <w:rFonts w:asciiTheme="majorHAnsi" w:hAnsiTheme="majorHAnsi" w:cstheme="majorHAnsi"/>
              <w:sz w:val="36"/>
            </w:rPr>
            <w:t>gramme 202</w:t>
          </w:r>
          <w:r w:rsidR="00DF27B0">
            <w:rPr>
              <w:rFonts w:asciiTheme="majorHAnsi" w:hAnsiTheme="majorHAnsi" w:cstheme="majorHAnsi"/>
              <w:sz w:val="36"/>
            </w:rPr>
            <w:t>4</w:t>
          </w:r>
          <w:r w:rsidRPr="002969DA" w:rsidR="00020331">
            <w:rPr>
              <w:rFonts w:asciiTheme="majorHAnsi" w:hAnsiTheme="majorHAnsi" w:cstheme="majorHAnsi"/>
              <w:sz w:val="36"/>
            </w:rPr>
            <w:t>-20</w:t>
          </w:r>
          <w:r w:rsidRPr="002969DA" w:rsidR="001C73EF">
            <w:rPr>
              <w:rFonts w:asciiTheme="majorHAnsi" w:hAnsiTheme="majorHAnsi" w:cstheme="majorHAnsi"/>
              <w:sz w:val="36"/>
            </w:rPr>
            <w:t>2</w:t>
          </w:r>
          <w:r w:rsidR="00DF27B0">
            <w:rPr>
              <w:rFonts w:asciiTheme="majorHAnsi" w:hAnsiTheme="majorHAnsi" w:cstheme="majorHAnsi"/>
              <w:sz w:val="36"/>
            </w:rPr>
            <w:t>5</w:t>
          </w:r>
        </w:p>
      </w:tc>
      <w:tc>
        <w:tcPr>
          <w:tcW w:w="1898" w:type="pct"/>
          <w:tcBorders>
            <w:top w:val="single" w:color="595959" w:themeColor="text1" w:themeTint="A6" w:sz="12" w:space="0"/>
            <w:bottom w:val="single" w:color="595959" w:themeColor="text1" w:themeTint="A6" w:sz="12" w:space="0"/>
            <w:right w:val="single" w:color="595959" w:themeColor="text1" w:themeTint="A6" w:sz="12" w:space="0"/>
          </w:tcBorders>
          <w:shd w:val="solid" w:color="FFFFFF" w:fill="auto"/>
          <w:vAlign w:val="center"/>
        </w:tcPr>
        <w:p w:rsidRPr="002969DA" w:rsidR="00583E51" w:rsidP="00583E51" w:rsidRDefault="00583E51" w14:paraId="7D19AE1D" w14:textId="77777777">
          <w:pPr>
            <w:spacing w:after="0"/>
            <w:jc w:val="center"/>
            <w:rPr>
              <w:rFonts w:asciiTheme="majorHAnsi" w:hAnsiTheme="majorHAnsi" w:cstheme="majorHAnsi"/>
            </w:rPr>
          </w:pPr>
          <w:r w:rsidRPr="002969DA">
            <w:rPr>
              <w:rFonts w:asciiTheme="majorHAnsi" w:hAnsiTheme="majorHAnsi" w:cstheme="majorHAnsi"/>
              <w:noProof/>
              <w:lang w:eastAsia="en-GB"/>
            </w:rPr>
            <w:drawing>
              <wp:inline distT="0" distB="0" distL="0" distR="0" wp14:anchorId="5145B385" wp14:editId="7A04E4BB">
                <wp:extent cx="1981200" cy="789760"/>
                <wp:effectExtent l="19050" t="0" r="0" b="0"/>
                <wp:docPr id="6" name="Picture 6"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png"/>
                        <pic:cNvPicPr/>
                      </pic:nvPicPr>
                      <pic:blipFill>
                        <a:blip r:embed="rId1"/>
                        <a:stretch>
                          <a:fillRect/>
                        </a:stretch>
                      </pic:blipFill>
                      <pic:spPr>
                        <a:xfrm>
                          <a:off x="0" y="0"/>
                          <a:ext cx="1977546" cy="788303"/>
                        </a:xfrm>
                        <a:prstGeom prst="rect">
                          <a:avLst/>
                        </a:prstGeom>
                      </pic:spPr>
                    </pic:pic>
                  </a:graphicData>
                </a:graphic>
              </wp:inline>
            </w:drawing>
          </w:r>
        </w:p>
      </w:tc>
    </w:tr>
  </w:tbl>
  <w:p w:rsidR="00AE73AF" w:rsidRDefault="00AE73AF" w14:paraId="032BA5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CB"/>
    <w:multiLevelType w:val="hybridMultilevel"/>
    <w:tmpl w:val="2AF8C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0B6D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421F0"/>
    <w:multiLevelType w:val="hybridMultilevel"/>
    <w:tmpl w:val="7CDA4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E72EAD"/>
    <w:multiLevelType w:val="hybridMultilevel"/>
    <w:tmpl w:val="A59A6C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987F14"/>
    <w:multiLevelType w:val="hybridMultilevel"/>
    <w:tmpl w:val="013EE7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159432C"/>
    <w:multiLevelType w:val="hybridMultilevel"/>
    <w:tmpl w:val="532E9000"/>
    <w:lvl w:ilvl="0" w:tplc="DD7671FA">
      <w:start w:val="1"/>
      <w:numFmt w:val="bullet"/>
      <w:lvlText w:val="•"/>
      <w:lvlJc w:val="left"/>
      <w:pPr>
        <w:tabs>
          <w:tab w:val="num" w:pos="720"/>
        </w:tabs>
        <w:ind w:left="720" w:hanging="360"/>
      </w:pPr>
      <w:rPr>
        <w:rFonts w:hint="default" w:ascii="Arial" w:hAnsi="Arial"/>
      </w:rPr>
    </w:lvl>
    <w:lvl w:ilvl="1" w:tplc="EA1E2948" w:tentative="1">
      <w:start w:val="1"/>
      <w:numFmt w:val="bullet"/>
      <w:lvlText w:val="•"/>
      <w:lvlJc w:val="left"/>
      <w:pPr>
        <w:tabs>
          <w:tab w:val="num" w:pos="1440"/>
        </w:tabs>
        <w:ind w:left="1440" w:hanging="360"/>
      </w:pPr>
      <w:rPr>
        <w:rFonts w:hint="default" w:ascii="Arial" w:hAnsi="Arial"/>
      </w:rPr>
    </w:lvl>
    <w:lvl w:ilvl="2" w:tplc="155A7DB6" w:tentative="1">
      <w:start w:val="1"/>
      <w:numFmt w:val="bullet"/>
      <w:lvlText w:val="•"/>
      <w:lvlJc w:val="left"/>
      <w:pPr>
        <w:tabs>
          <w:tab w:val="num" w:pos="2160"/>
        </w:tabs>
        <w:ind w:left="2160" w:hanging="360"/>
      </w:pPr>
      <w:rPr>
        <w:rFonts w:hint="default" w:ascii="Arial" w:hAnsi="Arial"/>
      </w:rPr>
    </w:lvl>
    <w:lvl w:ilvl="3" w:tplc="53E610BC" w:tentative="1">
      <w:start w:val="1"/>
      <w:numFmt w:val="bullet"/>
      <w:lvlText w:val="•"/>
      <w:lvlJc w:val="left"/>
      <w:pPr>
        <w:tabs>
          <w:tab w:val="num" w:pos="2880"/>
        </w:tabs>
        <w:ind w:left="2880" w:hanging="360"/>
      </w:pPr>
      <w:rPr>
        <w:rFonts w:hint="default" w:ascii="Arial" w:hAnsi="Arial"/>
      </w:rPr>
    </w:lvl>
    <w:lvl w:ilvl="4" w:tplc="72824C8E" w:tentative="1">
      <w:start w:val="1"/>
      <w:numFmt w:val="bullet"/>
      <w:lvlText w:val="•"/>
      <w:lvlJc w:val="left"/>
      <w:pPr>
        <w:tabs>
          <w:tab w:val="num" w:pos="3600"/>
        </w:tabs>
        <w:ind w:left="3600" w:hanging="360"/>
      </w:pPr>
      <w:rPr>
        <w:rFonts w:hint="default" w:ascii="Arial" w:hAnsi="Arial"/>
      </w:rPr>
    </w:lvl>
    <w:lvl w:ilvl="5" w:tplc="3F1EB6A2" w:tentative="1">
      <w:start w:val="1"/>
      <w:numFmt w:val="bullet"/>
      <w:lvlText w:val="•"/>
      <w:lvlJc w:val="left"/>
      <w:pPr>
        <w:tabs>
          <w:tab w:val="num" w:pos="4320"/>
        </w:tabs>
        <w:ind w:left="4320" w:hanging="360"/>
      </w:pPr>
      <w:rPr>
        <w:rFonts w:hint="default" w:ascii="Arial" w:hAnsi="Arial"/>
      </w:rPr>
    </w:lvl>
    <w:lvl w:ilvl="6" w:tplc="E24E60B8" w:tentative="1">
      <w:start w:val="1"/>
      <w:numFmt w:val="bullet"/>
      <w:lvlText w:val="•"/>
      <w:lvlJc w:val="left"/>
      <w:pPr>
        <w:tabs>
          <w:tab w:val="num" w:pos="5040"/>
        </w:tabs>
        <w:ind w:left="5040" w:hanging="360"/>
      </w:pPr>
      <w:rPr>
        <w:rFonts w:hint="default" w:ascii="Arial" w:hAnsi="Arial"/>
      </w:rPr>
    </w:lvl>
    <w:lvl w:ilvl="7" w:tplc="F06AB8F2" w:tentative="1">
      <w:start w:val="1"/>
      <w:numFmt w:val="bullet"/>
      <w:lvlText w:val="•"/>
      <w:lvlJc w:val="left"/>
      <w:pPr>
        <w:tabs>
          <w:tab w:val="num" w:pos="5760"/>
        </w:tabs>
        <w:ind w:left="5760" w:hanging="360"/>
      </w:pPr>
      <w:rPr>
        <w:rFonts w:hint="default" w:ascii="Arial" w:hAnsi="Arial"/>
      </w:rPr>
    </w:lvl>
    <w:lvl w:ilvl="8" w:tplc="AC945BB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374072A"/>
    <w:multiLevelType w:val="hybridMultilevel"/>
    <w:tmpl w:val="049C1EE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B670577"/>
    <w:multiLevelType w:val="hybridMultilevel"/>
    <w:tmpl w:val="91DE8846"/>
    <w:lvl w:ilvl="0" w:tplc="08090001">
      <w:start w:val="1"/>
      <w:numFmt w:val="bullet"/>
      <w:lvlText w:val=""/>
      <w:lvlJc w:val="left"/>
      <w:pPr>
        <w:ind w:left="941" w:hanging="360"/>
      </w:pPr>
      <w:rPr>
        <w:rFonts w:hint="default" w:ascii="Symbol" w:hAnsi="Symbol"/>
      </w:rPr>
    </w:lvl>
    <w:lvl w:ilvl="1" w:tplc="08090003" w:tentative="1">
      <w:start w:val="1"/>
      <w:numFmt w:val="bullet"/>
      <w:lvlText w:val="o"/>
      <w:lvlJc w:val="left"/>
      <w:pPr>
        <w:ind w:left="1661" w:hanging="360"/>
      </w:pPr>
      <w:rPr>
        <w:rFonts w:hint="default" w:ascii="Courier New" w:hAnsi="Courier New" w:cs="Courier New"/>
      </w:rPr>
    </w:lvl>
    <w:lvl w:ilvl="2" w:tplc="08090005" w:tentative="1">
      <w:start w:val="1"/>
      <w:numFmt w:val="bullet"/>
      <w:lvlText w:val=""/>
      <w:lvlJc w:val="left"/>
      <w:pPr>
        <w:ind w:left="2381" w:hanging="360"/>
      </w:pPr>
      <w:rPr>
        <w:rFonts w:hint="default" w:ascii="Wingdings" w:hAnsi="Wingdings"/>
      </w:rPr>
    </w:lvl>
    <w:lvl w:ilvl="3" w:tplc="08090001" w:tentative="1">
      <w:start w:val="1"/>
      <w:numFmt w:val="bullet"/>
      <w:lvlText w:val=""/>
      <w:lvlJc w:val="left"/>
      <w:pPr>
        <w:ind w:left="3101" w:hanging="360"/>
      </w:pPr>
      <w:rPr>
        <w:rFonts w:hint="default" w:ascii="Symbol" w:hAnsi="Symbol"/>
      </w:rPr>
    </w:lvl>
    <w:lvl w:ilvl="4" w:tplc="08090003" w:tentative="1">
      <w:start w:val="1"/>
      <w:numFmt w:val="bullet"/>
      <w:lvlText w:val="o"/>
      <w:lvlJc w:val="left"/>
      <w:pPr>
        <w:ind w:left="3821" w:hanging="360"/>
      </w:pPr>
      <w:rPr>
        <w:rFonts w:hint="default" w:ascii="Courier New" w:hAnsi="Courier New" w:cs="Courier New"/>
      </w:rPr>
    </w:lvl>
    <w:lvl w:ilvl="5" w:tplc="08090005" w:tentative="1">
      <w:start w:val="1"/>
      <w:numFmt w:val="bullet"/>
      <w:lvlText w:val=""/>
      <w:lvlJc w:val="left"/>
      <w:pPr>
        <w:ind w:left="4541" w:hanging="360"/>
      </w:pPr>
      <w:rPr>
        <w:rFonts w:hint="default" w:ascii="Wingdings" w:hAnsi="Wingdings"/>
      </w:rPr>
    </w:lvl>
    <w:lvl w:ilvl="6" w:tplc="08090001" w:tentative="1">
      <w:start w:val="1"/>
      <w:numFmt w:val="bullet"/>
      <w:lvlText w:val=""/>
      <w:lvlJc w:val="left"/>
      <w:pPr>
        <w:ind w:left="5261" w:hanging="360"/>
      </w:pPr>
      <w:rPr>
        <w:rFonts w:hint="default" w:ascii="Symbol" w:hAnsi="Symbol"/>
      </w:rPr>
    </w:lvl>
    <w:lvl w:ilvl="7" w:tplc="08090003" w:tentative="1">
      <w:start w:val="1"/>
      <w:numFmt w:val="bullet"/>
      <w:lvlText w:val="o"/>
      <w:lvlJc w:val="left"/>
      <w:pPr>
        <w:ind w:left="5981" w:hanging="360"/>
      </w:pPr>
      <w:rPr>
        <w:rFonts w:hint="default" w:ascii="Courier New" w:hAnsi="Courier New" w:cs="Courier New"/>
      </w:rPr>
    </w:lvl>
    <w:lvl w:ilvl="8" w:tplc="08090005" w:tentative="1">
      <w:start w:val="1"/>
      <w:numFmt w:val="bullet"/>
      <w:lvlText w:val=""/>
      <w:lvlJc w:val="left"/>
      <w:pPr>
        <w:ind w:left="6701" w:hanging="360"/>
      </w:pPr>
      <w:rPr>
        <w:rFonts w:hint="default" w:ascii="Wingdings" w:hAnsi="Wingdings"/>
      </w:rPr>
    </w:lvl>
  </w:abstractNum>
  <w:abstractNum w:abstractNumId="8" w15:restartNumberingAfterBreak="0">
    <w:nsid w:val="1EEB614F"/>
    <w:multiLevelType w:val="hybridMultilevel"/>
    <w:tmpl w:val="DB6C7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2A70D9F"/>
    <w:multiLevelType w:val="hybridMultilevel"/>
    <w:tmpl w:val="7D4897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693138D"/>
    <w:multiLevelType w:val="hybridMultilevel"/>
    <w:tmpl w:val="8956417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BED621C"/>
    <w:multiLevelType w:val="hybridMultilevel"/>
    <w:tmpl w:val="1F88F942"/>
    <w:lvl w:ilvl="0" w:tplc="E0D4B1E6">
      <w:start w:val="1"/>
      <w:numFmt w:val="bullet"/>
      <w:lvlText w:val="•"/>
      <w:lvlJc w:val="left"/>
      <w:pPr>
        <w:tabs>
          <w:tab w:val="num" w:pos="720"/>
        </w:tabs>
        <w:ind w:left="720" w:hanging="360"/>
      </w:pPr>
      <w:rPr>
        <w:rFonts w:hint="default" w:ascii="Arial" w:hAnsi="Arial"/>
      </w:rPr>
    </w:lvl>
    <w:lvl w:ilvl="1" w:tplc="3B8E037E" w:tentative="1">
      <w:start w:val="1"/>
      <w:numFmt w:val="bullet"/>
      <w:lvlText w:val="•"/>
      <w:lvlJc w:val="left"/>
      <w:pPr>
        <w:tabs>
          <w:tab w:val="num" w:pos="1440"/>
        </w:tabs>
        <w:ind w:left="1440" w:hanging="360"/>
      </w:pPr>
      <w:rPr>
        <w:rFonts w:hint="default" w:ascii="Arial" w:hAnsi="Arial"/>
      </w:rPr>
    </w:lvl>
    <w:lvl w:ilvl="2" w:tplc="42924046" w:tentative="1">
      <w:start w:val="1"/>
      <w:numFmt w:val="bullet"/>
      <w:lvlText w:val="•"/>
      <w:lvlJc w:val="left"/>
      <w:pPr>
        <w:tabs>
          <w:tab w:val="num" w:pos="2160"/>
        </w:tabs>
        <w:ind w:left="2160" w:hanging="360"/>
      </w:pPr>
      <w:rPr>
        <w:rFonts w:hint="default" w:ascii="Arial" w:hAnsi="Arial"/>
      </w:rPr>
    </w:lvl>
    <w:lvl w:ilvl="3" w:tplc="457E4036" w:tentative="1">
      <w:start w:val="1"/>
      <w:numFmt w:val="bullet"/>
      <w:lvlText w:val="•"/>
      <w:lvlJc w:val="left"/>
      <w:pPr>
        <w:tabs>
          <w:tab w:val="num" w:pos="2880"/>
        </w:tabs>
        <w:ind w:left="2880" w:hanging="360"/>
      </w:pPr>
      <w:rPr>
        <w:rFonts w:hint="default" w:ascii="Arial" w:hAnsi="Arial"/>
      </w:rPr>
    </w:lvl>
    <w:lvl w:ilvl="4" w:tplc="CAC8D8F4" w:tentative="1">
      <w:start w:val="1"/>
      <w:numFmt w:val="bullet"/>
      <w:lvlText w:val="•"/>
      <w:lvlJc w:val="left"/>
      <w:pPr>
        <w:tabs>
          <w:tab w:val="num" w:pos="3600"/>
        </w:tabs>
        <w:ind w:left="3600" w:hanging="360"/>
      </w:pPr>
      <w:rPr>
        <w:rFonts w:hint="default" w:ascii="Arial" w:hAnsi="Arial"/>
      </w:rPr>
    </w:lvl>
    <w:lvl w:ilvl="5" w:tplc="B09CDD5A" w:tentative="1">
      <w:start w:val="1"/>
      <w:numFmt w:val="bullet"/>
      <w:lvlText w:val="•"/>
      <w:lvlJc w:val="left"/>
      <w:pPr>
        <w:tabs>
          <w:tab w:val="num" w:pos="4320"/>
        </w:tabs>
        <w:ind w:left="4320" w:hanging="360"/>
      </w:pPr>
      <w:rPr>
        <w:rFonts w:hint="default" w:ascii="Arial" w:hAnsi="Arial"/>
      </w:rPr>
    </w:lvl>
    <w:lvl w:ilvl="6" w:tplc="41888622" w:tentative="1">
      <w:start w:val="1"/>
      <w:numFmt w:val="bullet"/>
      <w:lvlText w:val="•"/>
      <w:lvlJc w:val="left"/>
      <w:pPr>
        <w:tabs>
          <w:tab w:val="num" w:pos="5040"/>
        </w:tabs>
        <w:ind w:left="5040" w:hanging="360"/>
      </w:pPr>
      <w:rPr>
        <w:rFonts w:hint="default" w:ascii="Arial" w:hAnsi="Arial"/>
      </w:rPr>
    </w:lvl>
    <w:lvl w:ilvl="7" w:tplc="2FB45680" w:tentative="1">
      <w:start w:val="1"/>
      <w:numFmt w:val="bullet"/>
      <w:lvlText w:val="•"/>
      <w:lvlJc w:val="left"/>
      <w:pPr>
        <w:tabs>
          <w:tab w:val="num" w:pos="5760"/>
        </w:tabs>
        <w:ind w:left="5760" w:hanging="360"/>
      </w:pPr>
      <w:rPr>
        <w:rFonts w:hint="default" w:ascii="Arial" w:hAnsi="Arial"/>
      </w:rPr>
    </w:lvl>
    <w:lvl w:ilvl="8" w:tplc="0324F888"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307E0A47"/>
    <w:multiLevelType w:val="hybridMultilevel"/>
    <w:tmpl w:val="132E33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CE69C6"/>
    <w:multiLevelType w:val="hybridMultilevel"/>
    <w:tmpl w:val="35F085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C5D4A5B"/>
    <w:multiLevelType w:val="hybridMultilevel"/>
    <w:tmpl w:val="95848D0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rPr>
    </w:lvl>
    <w:lvl w:ilvl="8" w:tplc="04090005" w:tentative="1">
      <w:start w:val="1"/>
      <w:numFmt w:val="bullet"/>
      <w:lvlText w:val=""/>
      <w:lvlJc w:val="left"/>
      <w:pPr>
        <w:ind w:left="6530" w:hanging="360"/>
      </w:pPr>
      <w:rPr>
        <w:rFonts w:hint="default" w:ascii="Wingdings" w:hAnsi="Wingdings"/>
      </w:rPr>
    </w:lvl>
  </w:abstractNum>
  <w:abstractNum w:abstractNumId="15" w15:restartNumberingAfterBreak="0">
    <w:nsid w:val="53D841B0"/>
    <w:multiLevelType w:val="hybridMultilevel"/>
    <w:tmpl w:val="8DB0F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5752E4E"/>
    <w:multiLevelType w:val="hybridMultilevel"/>
    <w:tmpl w:val="5BB83B98"/>
    <w:lvl w:ilvl="0" w:tplc="55A4072E">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C2734A"/>
    <w:multiLevelType w:val="hybridMultilevel"/>
    <w:tmpl w:val="67689608"/>
    <w:lvl w:ilvl="0" w:tplc="59F698CA">
      <w:start w:val="1"/>
      <w:numFmt w:val="bullet"/>
      <w:lvlText w:val="•"/>
      <w:lvlJc w:val="left"/>
      <w:pPr>
        <w:tabs>
          <w:tab w:val="num" w:pos="720"/>
        </w:tabs>
        <w:ind w:left="720" w:hanging="360"/>
      </w:pPr>
      <w:rPr>
        <w:rFonts w:hint="default" w:ascii="Arial" w:hAnsi="Arial"/>
      </w:rPr>
    </w:lvl>
    <w:lvl w:ilvl="1" w:tplc="1B7EF970">
      <w:start w:val="1"/>
      <w:numFmt w:val="bullet"/>
      <w:lvlText w:val="•"/>
      <w:lvlJc w:val="left"/>
      <w:pPr>
        <w:tabs>
          <w:tab w:val="num" w:pos="1440"/>
        </w:tabs>
        <w:ind w:left="1440" w:hanging="360"/>
      </w:pPr>
      <w:rPr>
        <w:rFonts w:hint="default" w:ascii="Arial" w:hAnsi="Arial"/>
      </w:rPr>
    </w:lvl>
    <w:lvl w:ilvl="2" w:tplc="05223C7A" w:tentative="1">
      <w:start w:val="1"/>
      <w:numFmt w:val="bullet"/>
      <w:lvlText w:val="•"/>
      <w:lvlJc w:val="left"/>
      <w:pPr>
        <w:tabs>
          <w:tab w:val="num" w:pos="2160"/>
        </w:tabs>
        <w:ind w:left="2160" w:hanging="360"/>
      </w:pPr>
      <w:rPr>
        <w:rFonts w:hint="default" w:ascii="Arial" w:hAnsi="Arial"/>
      </w:rPr>
    </w:lvl>
    <w:lvl w:ilvl="3" w:tplc="A412CB28" w:tentative="1">
      <w:start w:val="1"/>
      <w:numFmt w:val="bullet"/>
      <w:lvlText w:val="•"/>
      <w:lvlJc w:val="left"/>
      <w:pPr>
        <w:tabs>
          <w:tab w:val="num" w:pos="2880"/>
        </w:tabs>
        <w:ind w:left="2880" w:hanging="360"/>
      </w:pPr>
      <w:rPr>
        <w:rFonts w:hint="default" w:ascii="Arial" w:hAnsi="Arial"/>
      </w:rPr>
    </w:lvl>
    <w:lvl w:ilvl="4" w:tplc="54B06AB6" w:tentative="1">
      <w:start w:val="1"/>
      <w:numFmt w:val="bullet"/>
      <w:lvlText w:val="•"/>
      <w:lvlJc w:val="left"/>
      <w:pPr>
        <w:tabs>
          <w:tab w:val="num" w:pos="3600"/>
        </w:tabs>
        <w:ind w:left="3600" w:hanging="360"/>
      </w:pPr>
      <w:rPr>
        <w:rFonts w:hint="default" w:ascii="Arial" w:hAnsi="Arial"/>
      </w:rPr>
    </w:lvl>
    <w:lvl w:ilvl="5" w:tplc="3864A190" w:tentative="1">
      <w:start w:val="1"/>
      <w:numFmt w:val="bullet"/>
      <w:lvlText w:val="•"/>
      <w:lvlJc w:val="left"/>
      <w:pPr>
        <w:tabs>
          <w:tab w:val="num" w:pos="4320"/>
        </w:tabs>
        <w:ind w:left="4320" w:hanging="360"/>
      </w:pPr>
      <w:rPr>
        <w:rFonts w:hint="default" w:ascii="Arial" w:hAnsi="Arial"/>
      </w:rPr>
    </w:lvl>
    <w:lvl w:ilvl="6" w:tplc="9A5C60BE" w:tentative="1">
      <w:start w:val="1"/>
      <w:numFmt w:val="bullet"/>
      <w:lvlText w:val="•"/>
      <w:lvlJc w:val="left"/>
      <w:pPr>
        <w:tabs>
          <w:tab w:val="num" w:pos="5040"/>
        </w:tabs>
        <w:ind w:left="5040" w:hanging="360"/>
      </w:pPr>
      <w:rPr>
        <w:rFonts w:hint="default" w:ascii="Arial" w:hAnsi="Arial"/>
      </w:rPr>
    </w:lvl>
    <w:lvl w:ilvl="7" w:tplc="C6401998" w:tentative="1">
      <w:start w:val="1"/>
      <w:numFmt w:val="bullet"/>
      <w:lvlText w:val="•"/>
      <w:lvlJc w:val="left"/>
      <w:pPr>
        <w:tabs>
          <w:tab w:val="num" w:pos="5760"/>
        </w:tabs>
        <w:ind w:left="5760" w:hanging="360"/>
      </w:pPr>
      <w:rPr>
        <w:rFonts w:hint="default" w:ascii="Arial" w:hAnsi="Arial"/>
      </w:rPr>
    </w:lvl>
    <w:lvl w:ilvl="8" w:tplc="1B84FB0A"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60916A07"/>
    <w:multiLevelType w:val="hybridMultilevel"/>
    <w:tmpl w:val="BBFAF476"/>
    <w:lvl w:ilvl="0" w:tplc="0CFC9D9E">
      <w:start w:val="1"/>
      <w:numFmt w:val="bullet"/>
      <w:lvlText w:val="•"/>
      <w:lvlJc w:val="left"/>
      <w:pPr>
        <w:tabs>
          <w:tab w:val="num" w:pos="720"/>
        </w:tabs>
        <w:ind w:left="720" w:hanging="360"/>
      </w:pPr>
      <w:rPr>
        <w:rFonts w:hint="default" w:ascii="Arial" w:hAnsi="Arial"/>
      </w:rPr>
    </w:lvl>
    <w:lvl w:ilvl="1" w:tplc="26144C26" w:tentative="1">
      <w:start w:val="1"/>
      <w:numFmt w:val="bullet"/>
      <w:lvlText w:val="•"/>
      <w:lvlJc w:val="left"/>
      <w:pPr>
        <w:tabs>
          <w:tab w:val="num" w:pos="1440"/>
        </w:tabs>
        <w:ind w:left="1440" w:hanging="360"/>
      </w:pPr>
      <w:rPr>
        <w:rFonts w:hint="default" w:ascii="Arial" w:hAnsi="Arial"/>
      </w:rPr>
    </w:lvl>
    <w:lvl w:ilvl="2" w:tplc="AB6AB27A" w:tentative="1">
      <w:start w:val="1"/>
      <w:numFmt w:val="bullet"/>
      <w:lvlText w:val="•"/>
      <w:lvlJc w:val="left"/>
      <w:pPr>
        <w:tabs>
          <w:tab w:val="num" w:pos="2160"/>
        </w:tabs>
        <w:ind w:left="2160" w:hanging="360"/>
      </w:pPr>
      <w:rPr>
        <w:rFonts w:hint="default" w:ascii="Arial" w:hAnsi="Arial"/>
      </w:rPr>
    </w:lvl>
    <w:lvl w:ilvl="3" w:tplc="912CF04E" w:tentative="1">
      <w:start w:val="1"/>
      <w:numFmt w:val="bullet"/>
      <w:lvlText w:val="•"/>
      <w:lvlJc w:val="left"/>
      <w:pPr>
        <w:tabs>
          <w:tab w:val="num" w:pos="2880"/>
        </w:tabs>
        <w:ind w:left="2880" w:hanging="360"/>
      </w:pPr>
      <w:rPr>
        <w:rFonts w:hint="default" w:ascii="Arial" w:hAnsi="Arial"/>
      </w:rPr>
    </w:lvl>
    <w:lvl w:ilvl="4" w:tplc="861C644A" w:tentative="1">
      <w:start w:val="1"/>
      <w:numFmt w:val="bullet"/>
      <w:lvlText w:val="•"/>
      <w:lvlJc w:val="left"/>
      <w:pPr>
        <w:tabs>
          <w:tab w:val="num" w:pos="3600"/>
        </w:tabs>
        <w:ind w:left="3600" w:hanging="360"/>
      </w:pPr>
      <w:rPr>
        <w:rFonts w:hint="default" w:ascii="Arial" w:hAnsi="Arial"/>
      </w:rPr>
    </w:lvl>
    <w:lvl w:ilvl="5" w:tplc="E2A0D7E8" w:tentative="1">
      <w:start w:val="1"/>
      <w:numFmt w:val="bullet"/>
      <w:lvlText w:val="•"/>
      <w:lvlJc w:val="left"/>
      <w:pPr>
        <w:tabs>
          <w:tab w:val="num" w:pos="4320"/>
        </w:tabs>
        <w:ind w:left="4320" w:hanging="360"/>
      </w:pPr>
      <w:rPr>
        <w:rFonts w:hint="default" w:ascii="Arial" w:hAnsi="Arial"/>
      </w:rPr>
    </w:lvl>
    <w:lvl w:ilvl="6" w:tplc="9AB6B63C" w:tentative="1">
      <w:start w:val="1"/>
      <w:numFmt w:val="bullet"/>
      <w:lvlText w:val="•"/>
      <w:lvlJc w:val="left"/>
      <w:pPr>
        <w:tabs>
          <w:tab w:val="num" w:pos="5040"/>
        </w:tabs>
        <w:ind w:left="5040" w:hanging="360"/>
      </w:pPr>
      <w:rPr>
        <w:rFonts w:hint="default" w:ascii="Arial" w:hAnsi="Arial"/>
      </w:rPr>
    </w:lvl>
    <w:lvl w:ilvl="7" w:tplc="977AABB8" w:tentative="1">
      <w:start w:val="1"/>
      <w:numFmt w:val="bullet"/>
      <w:lvlText w:val="•"/>
      <w:lvlJc w:val="left"/>
      <w:pPr>
        <w:tabs>
          <w:tab w:val="num" w:pos="5760"/>
        </w:tabs>
        <w:ind w:left="5760" w:hanging="360"/>
      </w:pPr>
      <w:rPr>
        <w:rFonts w:hint="default" w:ascii="Arial" w:hAnsi="Arial"/>
      </w:rPr>
    </w:lvl>
    <w:lvl w:ilvl="8" w:tplc="2EB2B66C"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611B1361"/>
    <w:multiLevelType w:val="hybridMultilevel"/>
    <w:tmpl w:val="5142E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CD85C25"/>
    <w:multiLevelType w:val="hybridMultilevel"/>
    <w:tmpl w:val="A0DC95BC"/>
    <w:lvl w:ilvl="0" w:tplc="C5FA90B4">
      <w:start w:val="1"/>
      <w:numFmt w:val="bullet"/>
      <w:lvlText w:val="•"/>
      <w:lvlJc w:val="left"/>
      <w:pPr>
        <w:tabs>
          <w:tab w:val="num" w:pos="720"/>
        </w:tabs>
        <w:ind w:left="720" w:hanging="360"/>
      </w:pPr>
      <w:rPr>
        <w:rFonts w:hint="default" w:ascii="Arial" w:hAnsi="Arial"/>
      </w:rPr>
    </w:lvl>
    <w:lvl w:ilvl="1" w:tplc="BE4860B4">
      <w:start w:val="1"/>
      <w:numFmt w:val="bullet"/>
      <w:lvlText w:val="•"/>
      <w:lvlJc w:val="left"/>
      <w:pPr>
        <w:tabs>
          <w:tab w:val="num" w:pos="1440"/>
        </w:tabs>
        <w:ind w:left="1440" w:hanging="360"/>
      </w:pPr>
      <w:rPr>
        <w:rFonts w:hint="default" w:ascii="Arial" w:hAnsi="Arial"/>
      </w:rPr>
    </w:lvl>
    <w:lvl w:ilvl="2" w:tplc="36269AA6" w:tentative="1">
      <w:start w:val="1"/>
      <w:numFmt w:val="bullet"/>
      <w:lvlText w:val="•"/>
      <w:lvlJc w:val="left"/>
      <w:pPr>
        <w:tabs>
          <w:tab w:val="num" w:pos="2160"/>
        </w:tabs>
        <w:ind w:left="2160" w:hanging="360"/>
      </w:pPr>
      <w:rPr>
        <w:rFonts w:hint="default" w:ascii="Arial" w:hAnsi="Arial"/>
      </w:rPr>
    </w:lvl>
    <w:lvl w:ilvl="3" w:tplc="75720762" w:tentative="1">
      <w:start w:val="1"/>
      <w:numFmt w:val="bullet"/>
      <w:lvlText w:val="•"/>
      <w:lvlJc w:val="left"/>
      <w:pPr>
        <w:tabs>
          <w:tab w:val="num" w:pos="2880"/>
        </w:tabs>
        <w:ind w:left="2880" w:hanging="360"/>
      </w:pPr>
      <w:rPr>
        <w:rFonts w:hint="default" w:ascii="Arial" w:hAnsi="Arial"/>
      </w:rPr>
    </w:lvl>
    <w:lvl w:ilvl="4" w:tplc="AFC210DE" w:tentative="1">
      <w:start w:val="1"/>
      <w:numFmt w:val="bullet"/>
      <w:lvlText w:val="•"/>
      <w:lvlJc w:val="left"/>
      <w:pPr>
        <w:tabs>
          <w:tab w:val="num" w:pos="3600"/>
        </w:tabs>
        <w:ind w:left="3600" w:hanging="360"/>
      </w:pPr>
      <w:rPr>
        <w:rFonts w:hint="default" w:ascii="Arial" w:hAnsi="Arial"/>
      </w:rPr>
    </w:lvl>
    <w:lvl w:ilvl="5" w:tplc="903E034C" w:tentative="1">
      <w:start w:val="1"/>
      <w:numFmt w:val="bullet"/>
      <w:lvlText w:val="•"/>
      <w:lvlJc w:val="left"/>
      <w:pPr>
        <w:tabs>
          <w:tab w:val="num" w:pos="4320"/>
        </w:tabs>
        <w:ind w:left="4320" w:hanging="360"/>
      </w:pPr>
      <w:rPr>
        <w:rFonts w:hint="default" w:ascii="Arial" w:hAnsi="Arial"/>
      </w:rPr>
    </w:lvl>
    <w:lvl w:ilvl="6" w:tplc="D6A63A58" w:tentative="1">
      <w:start w:val="1"/>
      <w:numFmt w:val="bullet"/>
      <w:lvlText w:val="•"/>
      <w:lvlJc w:val="left"/>
      <w:pPr>
        <w:tabs>
          <w:tab w:val="num" w:pos="5040"/>
        </w:tabs>
        <w:ind w:left="5040" w:hanging="360"/>
      </w:pPr>
      <w:rPr>
        <w:rFonts w:hint="default" w:ascii="Arial" w:hAnsi="Arial"/>
      </w:rPr>
    </w:lvl>
    <w:lvl w:ilvl="7" w:tplc="95B60330" w:tentative="1">
      <w:start w:val="1"/>
      <w:numFmt w:val="bullet"/>
      <w:lvlText w:val="•"/>
      <w:lvlJc w:val="left"/>
      <w:pPr>
        <w:tabs>
          <w:tab w:val="num" w:pos="5760"/>
        </w:tabs>
        <w:ind w:left="5760" w:hanging="360"/>
      </w:pPr>
      <w:rPr>
        <w:rFonts w:hint="default" w:ascii="Arial" w:hAnsi="Arial"/>
      </w:rPr>
    </w:lvl>
    <w:lvl w:ilvl="8" w:tplc="C306407C"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6E631719"/>
    <w:multiLevelType w:val="hybridMultilevel"/>
    <w:tmpl w:val="8B5CC8B4"/>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rPr>
    </w:lvl>
    <w:lvl w:ilvl="8" w:tplc="04090005" w:tentative="1">
      <w:start w:val="1"/>
      <w:numFmt w:val="bullet"/>
      <w:lvlText w:val=""/>
      <w:lvlJc w:val="left"/>
      <w:pPr>
        <w:ind w:left="6530" w:hanging="360"/>
      </w:pPr>
      <w:rPr>
        <w:rFonts w:hint="default" w:ascii="Wingdings" w:hAnsi="Wingdings"/>
      </w:rPr>
    </w:lvl>
  </w:abstractNum>
  <w:abstractNum w:abstractNumId="22" w15:restartNumberingAfterBreak="0">
    <w:nsid w:val="764F0C1F"/>
    <w:multiLevelType w:val="hybridMultilevel"/>
    <w:tmpl w:val="4D8EBA8C"/>
    <w:lvl w:ilvl="0" w:tplc="08090001">
      <w:start w:val="1"/>
      <w:numFmt w:val="bullet"/>
      <w:lvlText w:val=""/>
      <w:lvlJc w:val="left"/>
      <w:pPr>
        <w:ind w:left="940" w:hanging="360"/>
      </w:pPr>
      <w:rPr>
        <w:rFonts w:hint="default" w:ascii="Symbol" w:hAnsi="Symbol"/>
      </w:rPr>
    </w:lvl>
    <w:lvl w:ilvl="1" w:tplc="08090003" w:tentative="1">
      <w:start w:val="1"/>
      <w:numFmt w:val="bullet"/>
      <w:lvlText w:val="o"/>
      <w:lvlJc w:val="left"/>
      <w:pPr>
        <w:ind w:left="1660" w:hanging="360"/>
      </w:pPr>
      <w:rPr>
        <w:rFonts w:hint="default" w:ascii="Courier New" w:hAnsi="Courier New" w:cs="Courier New"/>
      </w:rPr>
    </w:lvl>
    <w:lvl w:ilvl="2" w:tplc="08090005" w:tentative="1">
      <w:start w:val="1"/>
      <w:numFmt w:val="bullet"/>
      <w:lvlText w:val=""/>
      <w:lvlJc w:val="left"/>
      <w:pPr>
        <w:ind w:left="2380" w:hanging="360"/>
      </w:pPr>
      <w:rPr>
        <w:rFonts w:hint="default" w:ascii="Wingdings" w:hAnsi="Wingdings"/>
      </w:rPr>
    </w:lvl>
    <w:lvl w:ilvl="3" w:tplc="08090001" w:tentative="1">
      <w:start w:val="1"/>
      <w:numFmt w:val="bullet"/>
      <w:lvlText w:val=""/>
      <w:lvlJc w:val="left"/>
      <w:pPr>
        <w:ind w:left="3100" w:hanging="360"/>
      </w:pPr>
      <w:rPr>
        <w:rFonts w:hint="default" w:ascii="Symbol" w:hAnsi="Symbol"/>
      </w:rPr>
    </w:lvl>
    <w:lvl w:ilvl="4" w:tplc="08090003" w:tentative="1">
      <w:start w:val="1"/>
      <w:numFmt w:val="bullet"/>
      <w:lvlText w:val="o"/>
      <w:lvlJc w:val="left"/>
      <w:pPr>
        <w:ind w:left="3820" w:hanging="360"/>
      </w:pPr>
      <w:rPr>
        <w:rFonts w:hint="default" w:ascii="Courier New" w:hAnsi="Courier New" w:cs="Courier New"/>
      </w:rPr>
    </w:lvl>
    <w:lvl w:ilvl="5" w:tplc="08090005" w:tentative="1">
      <w:start w:val="1"/>
      <w:numFmt w:val="bullet"/>
      <w:lvlText w:val=""/>
      <w:lvlJc w:val="left"/>
      <w:pPr>
        <w:ind w:left="4540" w:hanging="360"/>
      </w:pPr>
      <w:rPr>
        <w:rFonts w:hint="default" w:ascii="Wingdings" w:hAnsi="Wingdings"/>
      </w:rPr>
    </w:lvl>
    <w:lvl w:ilvl="6" w:tplc="08090001" w:tentative="1">
      <w:start w:val="1"/>
      <w:numFmt w:val="bullet"/>
      <w:lvlText w:val=""/>
      <w:lvlJc w:val="left"/>
      <w:pPr>
        <w:ind w:left="5260" w:hanging="360"/>
      </w:pPr>
      <w:rPr>
        <w:rFonts w:hint="default" w:ascii="Symbol" w:hAnsi="Symbol"/>
      </w:rPr>
    </w:lvl>
    <w:lvl w:ilvl="7" w:tplc="08090003" w:tentative="1">
      <w:start w:val="1"/>
      <w:numFmt w:val="bullet"/>
      <w:lvlText w:val="o"/>
      <w:lvlJc w:val="left"/>
      <w:pPr>
        <w:ind w:left="5980" w:hanging="360"/>
      </w:pPr>
      <w:rPr>
        <w:rFonts w:hint="default" w:ascii="Courier New" w:hAnsi="Courier New" w:cs="Courier New"/>
      </w:rPr>
    </w:lvl>
    <w:lvl w:ilvl="8" w:tplc="08090005" w:tentative="1">
      <w:start w:val="1"/>
      <w:numFmt w:val="bullet"/>
      <w:lvlText w:val=""/>
      <w:lvlJc w:val="left"/>
      <w:pPr>
        <w:ind w:left="6700" w:hanging="360"/>
      </w:pPr>
      <w:rPr>
        <w:rFonts w:hint="default" w:ascii="Wingdings" w:hAnsi="Wingdings"/>
      </w:rPr>
    </w:lvl>
  </w:abstractNum>
  <w:num w:numId="1" w16cid:durableId="1543320538">
    <w:abstractNumId w:val="1"/>
  </w:num>
  <w:num w:numId="2" w16cid:durableId="2145615093">
    <w:abstractNumId w:val="3"/>
  </w:num>
  <w:num w:numId="3" w16cid:durableId="1858276294">
    <w:abstractNumId w:val="14"/>
  </w:num>
  <w:num w:numId="4" w16cid:durableId="1662272926">
    <w:abstractNumId w:val="21"/>
  </w:num>
  <w:num w:numId="5" w16cid:durableId="2056659446">
    <w:abstractNumId w:val="10"/>
  </w:num>
  <w:num w:numId="6" w16cid:durableId="1239900619">
    <w:abstractNumId w:val="4"/>
  </w:num>
  <w:num w:numId="7" w16cid:durableId="538783223">
    <w:abstractNumId w:val="13"/>
  </w:num>
  <w:num w:numId="8" w16cid:durableId="1189490675">
    <w:abstractNumId w:val="0"/>
  </w:num>
  <w:num w:numId="9" w16cid:durableId="1889102998">
    <w:abstractNumId w:val="5"/>
  </w:num>
  <w:num w:numId="10" w16cid:durableId="1164783982">
    <w:abstractNumId w:val="18"/>
  </w:num>
  <w:num w:numId="11" w16cid:durableId="2113016450">
    <w:abstractNumId w:val="11"/>
  </w:num>
  <w:num w:numId="12" w16cid:durableId="338582599">
    <w:abstractNumId w:val="17"/>
  </w:num>
  <w:num w:numId="13" w16cid:durableId="801733236">
    <w:abstractNumId w:val="7"/>
  </w:num>
  <w:num w:numId="14" w16cid:durableId="660621162">
    <w:abstractNumId w:val="22"/>
  </w:num>
  <w:num w:numId="15" w16cid:durableId="2011567277">
    <w:abstractNumId w:val="20"/>
  </w:num>
  <w:num w:numId="16" w16cid:durableId="179702104">
    <w:abstractNumId w:val="6"/>
  </w:num>
  <w:num w:numId="17" w16cid:durableId="1869026249">
    <w:abstractNumId w:val="16"/>
  </w:num>
  <w:num w:numId="18" w16cid:durableId="1492984506">
    <w:abstractNumId w:val="12"/>
  </w:num>
  <w:num w:numId="19" w16cid:durableId="1702972701">
    <w:abstractNumId w:val="8"/>
  </w:num>
  <w:num w:numId="20" w16cid:durableId="1742171419">
    <w:abstractNumId w:val="2"/>
  </w:num>
  <w:num w:numId="21" w16cid:durableId="1050497982">
    <w:abstractNumId w:val="9"/>
  </w:num>
  <w:num w:numId="22" w16cid:durableId="1084037025">
    <w:abstractNumId w:val="15"/>
  </w:num>
  <w:num w:numId="23" w16cid:durableId="4701694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3AC"/>
    <w:rsid w:val="000114A6"/>
    <w:rsid w:val="0001244A"/>
    <w:rsid w:val="000133DB"/>
    <w:rsid w:val="000157BE"/>
    <w:rsid w:val="00020331"/>
    <w:rsid w:val="00020BAE"/>
    <w:rsid w:val="00046270"/>
    <w:rsid w:val="0005523A"/>
    <w:rsid w:val="00055850"/>
    <w:rsid w:val="000A0BD1"/>
    <w:rsid w:val="000C4C05"/>
    <w:rsid w:val="000D251C"/>
    <w:rsid w:val="000F25B6"/>
    <w:rsid w:val="0011702E"/>
    <w:rsid w:val="001572B1"/>
    <w:rsid w:val="00164ECC"/>
    <w:rsid w:val="00165C5B"/>
    <w:rsid w:val="00171145"/>
    <w:rsid w:val="00180570"/>
    <w:rsid w:val="001849ED"/>
    <w:rsid w:val="00190E0B"/>
    <w:rsid w:val="001B2FBA"/>
    <w:rsid w:val="001C0680"/>
    <w:rsid w:val="001C73EF"/>
    <w:rsid w:val="001D6091"/>
    <w:rsid w:val="001F0D5C"/>
    <w:rsid w:val="00200F7C"/>
    <w:rsid w:val="002061D1"/>
    <w:rsid w:val="00233AD4"/>
    <w:rsid w:val="002348B0"/>
    <w:rsid w:val="002374C4"/>
    <w:rsid w:val="00262403"/>
    <w:rsid w:val="002632FF"/>
    <w:rsid w:val="002753A9"/>
    <w:rsid w:val="00282888"/>
    <w:rsid w:val="00291586"/>
    <w:rsid w:val="002969DA"/>
    <w:rsid w:val="002C6F95"/>
    <w:rsid w:val="002D4BB7"/>
    <w:rsid w:val="00314483"/>
    <w:rsid w:val="003464D1"/>
    <w:rsid w:val="00372F3C"/>
    <w:rsid w:val="003766EC"/>
    <w:rsid w:val="00382AB3"/>
    <w:rsid w:val="003843D0"/>
    <w:rsid w:val="0039266D"/>
    <w:rsid w:val="00393E5E"/>
    <w:rsid w:val="00395454"/>
    <w:rsid w:val="003A45E2"/>
    <w:rsid w:val="003B1FB3"/>
    <w:rsid w:val="003B778A"/>
    <w:rsid w:val="003C00A2"/>
    <w:rsid w:val="003C6F1D"/>
    <w:rsid w:val="003D1E3F"/>
    <w:rsid w:val="003D6D90"/>
    <w:rsid w:val="003E6F61"/>
    <w:rsid w:val="00400652"/>
    <w:rsid w:val="0042117B"/>
    <w:rsid w:val="00432CDA"/>
    <w:rsid w:val="00451A35"/>
    <w:rsid w:val="004523E4"/>
    <w:rsid w:val="00471BAD"/>
    <w:rsid w:val="0048650D"/>
    <w:rsid w:val="0049704B"/>
    <w:rsid w:val="004B0E21"/>
    <w:rsid w:val="004B2E47"/>
    <w:rsid w:val="004C5507"/>
    <w:rsid w:val="004D1DC2"/>
    <w:rsid w:val="004F6880"/>
    <w:rsid w:val="00502858"/>
    <w:rsid w:val="0051688A"/>
    <w:rsid w:val="00516B27"/>
    <w:rsid w:val="00525C35"/>
    <w:rsid w:val="00525D88"/>
    <w:rsid w:val="00543BF1"/>
    <w:rsid w:val="00551136"/>
    <w:rsid w:val="0055202B"/>
    <w:rsid w:val="005521D8"/>
    <w:rsid w:val="005533C4"/>
    <w:rsid w:val="0056093D"/>
    <w:rsid w:val="00564B66"/>
    <w:rsid w:val="0057266F"/>
    <w:rsid w:val="00583E51"/>
    <w:rsid w:val="005913AC"/>
    <w:rsid w:val="00593975"/>
    <w:rsid w:val="005B11B8"/>
    <w:rsid w:val="005D7A6C"/>
    <w:rsid w:val="005E101C"/>
    <w:rsid w:val="005E3071"/>
    <w:rsid w:val="005E41E0"/>
    <w:rsid w:val="005F79BA"/>
    <w:rsid w:val="005F7C82"/>
    <w:rsid w:val="0061363C"/>
    <w:rsid w:val="00620578"/>
    <w:rsid w:val="0062069A"/>
    <w:rsid w:val="00623E50"/>
    <w:rsid w:val="00626DB1"/>
    <w:rsid w:val="00642DE3"/>
    <w:rsid w:val="006461BD"/>
    <w:rsid w:val="00652AD4"/>
    <w:rsid w:val="0069572B"/>
    <w:rsid w:val="006A67A9"/>
    <w:rsid w:val="006C4C8F"/>
    <w:rsid w:val="006C7890"/>
    <w:rsid w:val="006D78AA"/>
    <w:rsid w:val="006E23D3"/>
    <w:rsid w:val="006E5820"/>
    <w:rsid w:val="006E61B6"/>
    <w:rsid w:val="006F0332"/>
    <w:rsid w:val="006F72D5"/>
    <w:rsid w:val="00700BE4"/>
    <w:rsid w:val="00706241"/>
    <w:rsid w:val="00726E90"/>
    <w:rsid w:val="007344A4"/>
    <w:rsid w:val="007644CD"/>
    <w:rsid w:val="00773D90"/>
    <w:rsid w:val="007C2F3A"/>
    <w:rsid w:val="007C719A"/>
    <w:rsid w:val="007D2D4D"/>
    <w:rsid w:val="007F1F10"/>
    <w:rsid w:val="00807D11"/>
    <w:rsid w:val="0084014C"/>
    <w:rsid w:val="008511B1"/>
    <w:rsid w:val="0085660A"/>
    <w:rsid w:val="00867971"/>
    <w:rsid w:val="008743BF"/>
    <w:rsid w:val="008B4177"/>
    <w:rsid w:val="008F5400"/>
    <w:rsid w:val="00901D99"/>
    <w:rsid w:val="0092306A"/>
    <w:rsid w:val="00926073"/>
    <w:rsid w:val="00942C0F"/>
    <w:rsid w:val="00995FE6"/>
    <w:rsid w:val="00997499"/>
    <w:rsid w:val="009B2B2E"/>
    <w:rsid w:val="009B3B56"/>
    <w:rsid w:val="009B448F"/>
    <w:rsid w:val="009D5796"/>
    <w:rsid w:val="009E4E98"/>
    <w:rsid w:val="00A00BDE"/>
    <w:rsid w:val="00A12C47"/>
    <w:rsid w:val="00A14B5B"/>
    <w:rsid w:val="00A16CF4"/>
    <w:rsid w:val="00A41B9B"/>
    <w:rsid w:val="00A44E7E"/>
    <w:rsid w:val="00A4708B"/>
    <w:rsid w:val="00A471DF"/>
    <w:rsid w:val="00A54E86"/>
    <w:rsid w:val="00A55B7F"/>
    <w:rsid w:val="00A563C0"/>
    <w:rsid w:val="00A64806"/>
    <w:rsid w:val="00A74481"/>
    <w:rsid w:val="00A81FDB"/>
    <w:rsid w:val="00A91AD5"/>
    <w:rsid w:val="00A91CDB"/>
    <w:rsid w:val="00A940FE"/>
    <w:rsid w:val="00AB3017"/>
    <w:rsid w:val="00AE73AF"/>
    <w:rsid w:val="00B007BB"/>
    <w:rsid w:val="00B04528"/>
    <w:rsid w:val="00B22B67"/>
    <w:rsid w:val="00B27ED1"/>
    <w:rsid w:val="00B31683"/>
    <w:rsid w:val="00B47F6F"/>
    <w:rsid w:val="00B9378C"/>
    <w:rsid w:val="00B945DF"/>
    <w:rsid w:val="00BA4CDA"/>
    <w:rsid w:val="00BE1B2F"/>
    <w:rsid w:val="00BE73B1"/>
    <w:rsid w:val="00BF2EE7"/>
    <w:rsid w:val="00C06F8A"/>
    <w:rsid w:val="00C07C61"/>
    <w:rsid w:val="00C122CA"/>
    <w:rsid w:val="00C13734"/>
    <w:rsid w:val="00C40799"/>
    <w:rsid w:val="00C52C95"/>
    <w:rsid w:val="00C74B42"/>
    <w:rsid w:val="00C85424"/>
    <w:rsid w:val="00C979E5"/>
    <w:rsid w:val="00CA3077"/>
    <w:rsid w:val="00CB2F33"/>
    <w:rsid w:val="00CC68CC"/>
    <w:rsid w:val="00CE5213"/>
    <w:rsid w:val="00CF0E41"/>
    <w:rsid w:val="00D310AA"/>
    <w:rsid w:val="00D77673"/>
    <w:rsid w:val="00D810E4"/>
    <w:rsid w:val="00D82078"/>
    <w:rsid w:val="00D86990"/>
    <w:rsid w:val="00DA7847"/>
    <w:rsid w:val="00DB1154"/>
    <w:rsid w:val="00DB7815"/>
    <w:rsid w:val="00DD33AB"/>
    <w:rsid w:val="00DD7161"/>
    <w:rsid w:val="00DD76F2"/>
    <w:rsid w:val="00DE10E0"/>
    <w:rsid w:val="00DE1C5A"/>
    <w:rsid w:val="00DE3C67"/>
    <w:rsid w:val="00DF1559"/>
    <w:rsid w:val="00DF1BCB"/>
    <w:rsid w:val="00DF27B0"/>
    <w:rsid w:val="00DF298A"/>
    <w:rsid w:val="00E16B56"/>
    <w:rsid w:val="00E41EDE"/>
    <w:rsid w:val="00E43448"/>
    <w:rsid w:val="00E43C20"/>
    <w:rsid w:val="00E43CDB"/>
    <w:rsid w:val="00E54235"/>
    <w:rsid w:val="00E547CD"/>
    <w:rsid w:val="00E7119E"/>
    <w:rsid w:val="00E878AF"/>
    <w:rsid w:val="00EA2DA5"/>
    <w:rsid w:val="00EB35A8"/>
    <w:rsid w:val="00EB3D55"/>
    <w:rsid w:val="00EC0EF7"/>
    <w:rsid w:val="00EC27A1"/>
    <w:rsid w:val="00EC69F3"/>
    <w:rsid w:val="00ED0C43"/>
    <w:rsid w:val="00EE0723"/>
    <w:rsid w:val="00EE3FFF"/>
    <w:rsid w:val="00EE6C4F"/>
    <w:rsid w:val="00F01DFC"/>
    <w:rsid w:val="00F06D39"/>
    <w:rsid w:val="00F13BB4"/>
    <w:rsid w:val="00F3028D"/>
    <w:rsid w:val="00F40196"/>
    <w:rsid w:val="00F46610"/>
    <w:rsid w:val="00F54A4D"/>
    <w:rsid w:val="00F6258F"/>
    <w:rsid w:val="00F63769"/>
    <w:rsid w:val="00F83309"/>
    <w:rsid w:val="00F85F4A"/>
    <w:rsid w:val="00FC5FD8"/>
    <w:rsid w:val="00FD4F59"/>
    <w:rsid w:val="00FD5D8D"/>
    <w:rsid w:val="00FE46AB"/>
    <w:rsid w:val="61C15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19A468"/>
  <w15:docId w15:val="{72793316-7517-45AE-A517-EFD6111E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36"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5213"/>
    <w:pPr>
      <w:jc w:val="both"/>
    </w:pPr>
  </w:style>
  <w:style w:type="paragraph" w:styleId="Heading1">
    <w:name w:val="heading 1"/>
    <w:basedOn w:val="Normal"/>
    <w:next w:val="Normal"/>
    <w:link w:val="Heading1Char"/>
    <w:uiPriority w:val="9"/>
    <w:qFormat/>
    <w:rsid w:val="005913A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461BD"/>
    <w:pPr>
      <w:keepNext/>
      <w:keepLines/>
      <w:numPr>
        <w:numId w:val="17"/>
      </w:numPr>
      <w:spacing w:before="40" w:after="120"/>
      <w:ind w:left="357" w:hanging="357"/>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913AC"/>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5913AC"/>
    <w:pPr>
      <w:ind w:left="720"/>
      <w:contextualSpacing/>
    </w:pPr>
  </w:style>
  <w:style w:type="character" w:styleId="CommentReference">
    <w:name w:val="annotation reference"/>
    <w:basedOn w:val="DefaultParagraphFont"/>
    <w:uiPriority w:val="99"/>
    <w:semiHidden/>
    <w:unhideWhenUsed/>
    <w:rsid w:val="005913AC"/>
    <w:rPr>
      <w:sz w:val="16"/>
      <w:szCs w:val="16"/>
    </w:rPr>
  </w:style>
  <w:style w:type="paragraph" w:styleId="CommentText">
    <w:name w:val="annotation text"/>
    <w:basedOn w:val="Normal"/>
    <w:link w:val="CommentTextChar"/>
    <w:uiPriority w:val="99"/>
    <w:semiHidden/>
    <w:unhideWhenUsed/>
    <w:rsid w:val="005913AC"/>
    <w:pPr>
      <w:spacing w:line="240" w:lineRule="auto"/>
    </w:pPr>
    <w:rPr>
      <w:sz w:val="20"/>
      <w:szCs w:val="20"/>
    </w:rPr>
  </w:style>
  <w:style w:type="character" w:styleId="CommentTextChar" w:customStyle="1">
    <w:name w:val="Comment Text Char"/>
    <w:basedOn w:val="DefaultParagraphFont"/>
    <w:link w:val="CommentText"/>
    <w:uiPriority w:val="99"/>
    <w:semiHidden/>
    <w:rsid w:val="005913AC"/>
    <w:rPr>
      <w:sz w:val="20"/>
      <w:szCs w:val="20"/>
    </w:rPr>
  </w:style>
  <w:style w:type="paragraph" w:styleId="CommentSubject">
    <w:name w:val="annotation subject"/>
    <w:basedOn w:val="CommentText"/>
    <w:next w:val="CommentText"/>
    <w:link w:val="CommentSubjectChar"/>
    <w:uiPriority w:val="99"/>
    <w:semiHidden/>
    <w:unhideWhenUsed/>
    <w:rsid w:val="005913AC"/>
    <w:rPr>
      <w:b/>
      <w:bCs/>
    </w:rPr>
  </w:style>
  <w:style w:type="character" w:styleId="CommentSubjectChar" w:customStyle="1">
    <w:name w:val="Comment Subject Char"/>
    <w:basedOn w:val="CommentTextChar"/>
    <w:link w:val="CommentSubject"/>
    <w:uiPriority w:val="99"/>
    <w:semiHidden/>
    <w:rsid w:val="005913AC"/>
    <w:rPr>
      <w:b/>
      <w:bCs/>
      <w:sz w:val="20"/>
      <w:szCs w:val="20"/>
    </w:rPr>
  </w:style>
  <w:style w:type="paragraph" w:styleId="BalloonText">
    <w:name w:val="Balloon Text"/>
    <w:basedOn w:val="Normal"/>
    <w:link w:val="BalloonTextChar"/>
    <w:uiPriority w:val="99"/>
    <w:semiHidden/>
    <w:unhideWhenUsed/>
    <w:rsid w:val="005913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13AC"/>
    <w:rPr>
      <w:rFonts w:ascii="Segoe UI" w:hAnsi="Segoe UI" w:cs="Segoe UI"/>
      <w:sz w:val="18"/>
      <w:szCs w:val="18"/>
    </w:rPr>
  </w:style>
  <w:style w:type="paragraph" w:styleId="Header">
    <w:name w:val="header"/>
    <w:basedOn w:val="Normal"/>
    <w:link w:val="HeaderChar"/>
    <w:uiPriority w:val="99"/>
    <w:unhideWhenUsed/>
    <w:rsid w:val="00AE73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73AF"/>
  </w:style>
  <w:style w:type="paragraph" w:styleId="Footer">
    <w:name w:val="footer"/>
    <w:aliases w:val="~Footer"/>
    <w:basedOn w:val="Normal"/>
    <w:link w:val="FooterChar"/>
    <w:uiPriority w:val="36"/>
    <w:unhideWhenUsed/>
    <w:rsid w:val="00AE73AF"/>
    <w:pPr>
      <w:tabs>
        <w:tab w:val="center" w:pos="4513"/>
        <w:tab w:val="right" w:pos="9026"/>
      </w:tabs>
      <w:spacing w:after="0" w:line="240" w:lineRule="auto"/>
    </w:pPr>
  </w:style>
  <w:style w:type="character" w:styleId="FooterChar" w:customStyle="1">
    <w:name w:val="Footer Char"/>
    <w:aliases w:val="~Footer Char"/>
    <w:basedOn w:val="DefaultParagraphFont"/>
    <w:link w:val="Footer"/>
    <w:uiPriority w:val="36"/>
    <w:rsid w:val="00AE73AF"/>
  </w:style>
  <w:style w:type="character" w:styleId="Heading2Char" w:customStyle="1">
    <w:name w:val="Heading 2 Char"/>
    <w:basedOn w:val="DefaultParagraphFont"/>
    <w:link w:val="Heading2"/>
    <w:uiPriority w:val="9"/>
    <w:rsid w:val="006461BD"/>
    <w:rPr>
      <w:rFonts w:asciiTheme="majorHAnsi" w:hAnsiTheme="majorHAnsi" w:eastAsiaTheme="majorEastAsia" w:cstheme="majorBidi"/>
      <w:color w:val="2E74B5" w:themeColor="accent1" w:themeShade="BF"/>
      <w:sz w:val="26"/>
      <w:szCs w:val="26"/>
    </w:rPr>
  </w:style>
  <w:style w:type="paragraph" w:styleId="FootnoteText">
    <w:name w:val="footnote text"/>
    <w:basedOn w:val="Normal"/>
    <w:link w:val="FootnoteTextChar"/>
    <w:uiPriority w:val="99"/>
    <w:semiHidden/>
    <w:unhideWhenUsed/>
    <w:rsid w:val="00D8699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86990"/>
    <w:rPr>
      <w:sz w:val="20"/>
      <w:szCs w:val="20"/>
    </w:rPr>
  </w:style>
  <w:style w:type="character" w:styleId="FootnoteReference">
    <w:name w:val="footnote reference"/>
    <w:basedOn w:val="DefaultParagraphFont"/>
    <w:uiPriority w:val="99"/>
    <w:semiHidden/>
    <w:unhideWhenUsed/>
    <w:rsid w:val="00D86990"/>
    <w:rPr>
      <w:vertAlign w:val="superscript"/>
    </w:rPr>
  </w:style>
  <w:style w:type="character" w:styleId="Hyperlink">
    <w:name w:val="Hyperlink"/>
    <w:basedOn w:val="DefaultParagraphFont"/>
    <w:uiPriority w:val="99"/>
    <w:unhideWhenUsed/>
    <w:rsid w:val="00372F3C"/>
    <w:rPr>
      <w:color w:val="0563C1" w:themeColor="hyperlink"/>
      <w:u w:val="single"/>
    </w:rPr>
  </w:style>
  <w:style w:type="character" w:styleId="UnresolvedMention">
    <w:name w:val="Unresolved Mention"/>
    <w:basedOn w:val="DefaultParagraphFont"/>
    <w:uiPriority w:val="99"/>
    <w:semiHidden/>
    <w:unhideWhenUsed/>
    <w:rsid w:val="00451A35"/>
    <w:rPr>
      <w:color w:val="605E5C"/>
      <w:shd w:val="clear" w:color="auto" w:fill="E1DFDD"/>
    </w:rPr>
  </w:style>
  <w:style w:type="character" w:styleId="Emphasis">
    <w:name w:val="Emphasis"/>
    <w:basedOn w:val="DefaultParagraphFont"/>
    <w:uiPriority w:val="20"/>
    <w:qFormat/>
    <w:rsid w:val="00552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3181">
          <w:marLeft w:val="1166"/>
          <w:marRight w:val="0"/>
          <w:marTop w:val="0"/>
          <w:marBottom w:val="0"/>
          <w:divBdr>
            <w:top w:val="none" w:sz="0" w:space="0" w:color="auto"/>
            <w:left w:val="none" w:sz="0" w:space="0" w:color="auto"/>
            <w:bottom w:val="none" w:sz="0" w:space="0" w:color="auto"/>
            <w:right w:val="none" w:sz="0" w:space="0" w:color="auto"/>
          </w:divBdr>
        </w:div>
        <w:div w:id="1837067089">
          <w:marLeft w:val="1166"/>
          <w:marRight w:val="0"/>
          <w:marTop w:val="0"/>
          <w:marBottom w:val="0"/>
          <w:divBdr>
            <w:top w:val="none" w:sz="0" w:space="0" w:color="auto"/>
            <w:left w:val="none" w:sz="0" w:space="0" w:color="auto"/>
            <w:bottom w:val="none" w:sz="0" w:space="0" w:color="auto"/>
            <w:right w:val="none" w:sz="0" w:space="0" w:color="auto"/>
          </w:divBdr>
        </w:div>
        <w:div w:id="103310314">
          <w:marLeft w:val="1166"/>
          <w:marRight w:val="0"/>
          <w:marTop w:val="0"/>
          <w:marBottom w:val="0"/>
          <w:divBdr>
            <w:top w:val="none" w:sz="0" w:space="0" w:color="auto"/>
            <w:left w:val="none" w:sz="0" w:space="0" w:color="auto"/>
            <w:bottom w:val="none" w:sz="0" w:space="0" w:color="auto"/>
            <w:right w:val="none" w:sz="0" w:space="0" w:color="auto"/>
          </w:divBdr>
        </w:div>
        <w:div w:id="1719009895">
          <w:marLeft w:val="1166"/>
          <w:marRight w:val="0"/>
          <w:marTop w:val="0"/>
          <w:marBottom w:val="0"/>
          <w:divBdr>
            <w:top w:val="none" w:sz="0" w:space="0" w:color="auto"/>
            <w:left w:val="none" w:sz="0" w:space="0" w:color="auto"/>
            <w:bottom w:val="none" w:sz="0" w:space="0" w:color="auto"/>
            <w:right w:val="none" w:sz="0" w:space="0" w:color="auto"/>
          </w:divBdr>
        </w:div>
        <w:div w:id="1139421830">
          <w:marLeft w:val="1166"/>
          <w:marRight w:val="0"/>
          <w:marTop w:val="0"/>
          <w:marBottom w:val="0"/>
          <w:divBdr>
            <w:top w:val="none" w:sz="0" w:space="0" w:color="auto"/>
            <w:left w:val="none" w:sz="0" w:space="0" w:color="auto"/>
            <w:bottom w:val="none" w:sz="0" w:space="0" w:color="auto"/>
            <w:right w:val="none" w:sz="0" w:space="0" w:color="auto"/>
          </w:divBdr>
        </w:div>
      </w:divsChild>
    </w:div>
    <w:div w:id="244149853">
      <w:bodyDiv w:val="1"/>
      <w:marLeft w:val="0"/>
      <w:marRight w:val="0"/>
      <w:marTop w:val="0"/>
      <w:marBottom w:val="0"/>
      <w:divBdr>
        <w:top w:val="none" w:sz="0" w:space="0" w:color="auto"/>
        <w:left w:val="none" w:sz="0" w:space="0" w:color="auto"/>
        <w:bottom w:val="none" w:sz="0" w:space="0" w:color="auto"/>
        <w:right w:val="none" w:sz="0" w:space="0" w:color="auto"/>
      </w:divBdr>
    </w:div>
    <w:div w:id="354885649">
      <w:bodyDiv w:val="1"/>
      <w:marLeft w:val="0"/>
      <w:marRight w:val="0"/>
      <w:marTop w:val="0"/>
      <w:marBottom w:val="0"/>
      <w:divBdr>
        <w:top w:val="none" w:sz="0" w:space="0" w:color="auto"/>
        <w:left w:val="none" w:sz="0" w:space="0" w:color="auto"/>
        <w:bottom w:val="none" w:sz="0" w:space="0" w:color="auto"/>
        <w:right w:val="none" w:sz="0" w:space="0" w:color="auto"/>
      </w:divBdr>
    </w:div>
    <w:div w:id="508057978">
      <w:bodyDiv w:val="1"/>
      <w:marLeft w:val="0"/>
      <w:marRight w:val="0"/>
      <w:marTop w:val="0"/>
      <w:marBottom w:val="0"/>
      <w:divBdr>
        <w:top w:val="none" w:sz="0" w:space="0" w:color="auto"/>
        <w:left w:val="none" w:sz="0" w:space="0" w:color="auto"/>
        <w:bottom w:val="none" w:sz="0" w:space="0" w:color="auto"/>
        <w:right w:val="none" w:sz="0" w:space="0" w:color="auto"/>
      </w:divBdr>
    </w:div>
    <w:div w:id="955407456">
      <w:bodyDiv w:val="1"/>
      <w:marLeft w:val="0"/>
      <w:marRight w:val="0"/>
      <w:marTop w:val="0"/>
      <w:marBottom w:val="0"/>
      <w:divBdr>
        <w:top w:val="none" w:sz="0" w:space="0" w:color="auto"/>
        <w:left w:val="none" w:sz="0" w:space="0" w:color="auto"/>
        <w:bottom w:val="none" w:sz="0" w:space="0" w:color="auto"/>
        <w:right w:val="none" w:sz="0" w:space="0" w:color="auto"/>
      </w:divBdr>
      <w:divsChild>
        <w:div w:id="2072580919">
          <w:marLeft w:val="1166"/>
          <w:marRight w:val="0"/>
          <w:marTop w:val="0"/>
          <w:marBottom w:val="0"/>
          <w:divBdr>
            <w:top w:val="none" w:sz="0" w:space="0" w:color="auto"/>
            <w:left w:val="none" w:sz="0" w:space="0" w:color="auto"/>
            <w:bottom w:val="none" w:sz="0" w:space="0" w:color="auto"/>
            <w:right w:val="none" w:sz="0" w:space="0" w:color="auto"/>
          </w:divBdr>
        </w:div>
      </w:divsChild>
    </w:div>
    <w:div w:id="1121532406">
      <w:bodyDiv w:val="1"/>
      <w:marLeft w:val="0"/>
      <w:marRight w:val="0"/>
      <w:marTop w:val="0"/>
      <w:marBottom w:val="0"/>
      <w:divBdr>
        <w:top w:val="none" w:sz="0" w:space="0" w:color="auto"/>
        <w:left w:val="none" w:sz="0" w:space="0" w:color="auto"/>
        <w:bottom w:val="none" w:sz="0" w:space="0" w:color="auto"/>
        <w:right w:val="none" w:sz="0" w:space="0" w:color="auto"/>
      </w:divBdr>
    </w:div>
    <w:div w:id="1228998129">
      <w:bodyDiv w:val="1"/>
      <w:marLeft w:val="0"/>
      <w:marRight w:val="0"/>
      <w:marTop w:val="0"/>
      <w:marBottom w:val="0"/>
      <w:divBdr>
        <w:top w:val="none" w:sz="0" w:space="0" w:color="auto"/>
        <w:left w:val="none" w:sz="0" w:space="0" w:color="auto"/>
        <w:bottom w:val="none" w:sz="0" w:space="0" w:color="auto"/>
        <w:right w:val="none" w:sz="0" w:space="0" w:color="auto"/>
      </w:divBdr>
    </w:div>
    <w:div w:id="1358309728">
      <w:bodyDiv w:val="1"/>
      <w:marLeft w:val="0"/>
      <w:marRight w:val="0"/>
      <w:marTop w:val="0"/>
      <w:marBottom w:val="0"/>
      <w:divBdr>
        <w:top w:val="none" w:sz="0" w:space="0" w:color="auto"/>
        <w:left w:val="none" w:sz="0" w:space="0" w:color="auto"/>
        <w:bottom w:val="none" w:sz="0" w:space="0" w:color="auto"/>
        <w:right w:val="none" w:sz="0" w:space="0" w:color="auto"/>
      </w:divBdr>
    </w:div>
    <w:div w:id="1376612969">
      <w:bodyDiv w:val="1"/>
      <w:marLeft w:val="0"/>
      <w:marRight w:val="0"/>
      <w:marTop w:val="0"/>
      <w:marBottom w:val="0"/>
      <w:divBdr>
        <w:top w:val="none" w:sz="0" w:space="0" w:color="auto"/>
        <w:left w:val="none" w:sz="0" w:space="0" w:color="auto"/>
        <w:bottom w:val="none" w:sz="0" w:space="0" w:color="auto"/>
        <w:right w:val="none" w:sz="0" w:space="0" w:color="auto"/>
      </w:divBdr>
      <w:divsChild>
        <w:div w:id="11150060">
          <w:marLeft w:val="1166"/>
          <w:marRight w:val="0"/>
          <w:marTop w:val="0"/>
          <w:marBottom w:val="0"/>
          <w:divBdr>
            <w:top w:val="none" w:sz="0" w:space="0" w:color="auto"/>
            <w:left w:val="none" w:sz="0" w:space="0" w:color="auto"/>
            <w:bottom w:val="none" w:sz="0" w:space="0" w:color="auto"/>
            <w:right w:val="none" w:sz="0" w:space="0" w:color="auto"/>
          </w:divBdr>
        </w:div>
        <w:div w:id="2090229332">
          <w:marLeft w:val="1166"/>
          <w:marRight w:val="0"/>
          <w:marTop w:val="0"/>
          <w:marBottom w:val="0"/>
          <w:divBdr>
            <w:top w:val="none" w:sz="0" w:space="0" w:color="auto"/>
            <w:left w:val="none" w:sz="0" w:space="0" w:color="auto"/>
            <w:bottom w:val="none" w:sz="0" w:space="0" w:color="auto"/>
            <w:right w:val="none" w:sz="0" w:space="0" w:color="auto"/>
          </w:divBdr>
        </w:div>
        <w:div w:id="1346708551">
          <w:marLeft w:val="1166"/>
          <w:marRight w:val="0"/>
          <w:marTop w:val="0"/>
          <w:marBottom w:val="0"/>
          <w:divBdr>
            <w:top w:val="none" w:sz="0" w:space="0" w:color="auto"/>
            <w:left w:val="none" w:sz="0" w:space="0" w:color="auto"/>
            <w:bottom w:val="none" w:sz="0" w:space="0" w:color="auto"/>
            <w:right w:val="none" w:sz="0" w:space="0" w:color="auto"/>
          </w:divBdr>
        </w:div>
      </w:divsChild>
    </w:div>
    <w:div w:id="1486777850">
      <w:bodyDiv w:val="1"/>
      <w:marLeft w:val="0"/>
      <w:marRight w:val="0"/>
      <w:marTop w:val="0"/>
      <w:marBottom w:val="0"/>
      <w:divBdr>
        <w:top w:val="none" w:sz="0" w:space="0" w:color="auto"/>
        <w:left w:val="none" w:sz="0" w:space="0" w:color="auto"/>
        <w:bottom w:val="none" w:sz="0" w:space="0" w:color="auto"/>
        <w:right w:val="none" w:sz="0" w:space="0" w:color="auto"/>
      </w:divBdr>
    </w:div>
    <w:div w:id="18822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pt@nccuk.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ccuk.com/what-we-do/technology-programmes/technology-pull-through-programme/"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nasa.gov/pdf/458490main_TRL_Defin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7AC9AD250EA4386D0A6714D617152" ma:contentTypeVersion="13" ma:contentTypeDescription="Create a new document." ma:contentTypeScope="" ma:versionID="82986008a6279d2d8781ec08755bbad5">
  <xsd:schema xmlns:xsd="http://www.w3.org/2001/XMLSchema" xmlns:xs="http://www.w3.org/2001/XMLSchema" xmlns:p="http://schemas.microsoft.com/office/2006/metadata/properties" xmlns:ns2="c6c2ebfe-870a-4aa5-bf00-4acf42cb95a8" xmlns:ns3="154117a3-bde5-4b03-a812-7e57943f045d" targetNamespace="http://schemas.microsoft.com/office/2006/metadata/properties" ma:root="true" ma:fieldsID="800edff9ece376f9cb56b6613d5defb6" ns2:_="" ns3:_="">
    <xsd:import namespace="c6c2ebfe-870a-4aa5-bf00-4acf42cb95a8"/>
    <xsd:import namespace="154117a3-bde5-4b03-a812-7e57943f0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ebfe-870a-4aa5-bf00-4acf42cb9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6b43d8-2521-4b4e-b2d9-56e76b105d6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4117a3-bde5-4b03-a812-7e57943f04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f2a963c-7626-41f3-9000-9c9ce4904038}" ma:internalName="TaxCatchAll" ma:showField="CatchAllData" ma:web="154117a3-bde5-4b03-a812-7e57943f04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2ebfe-870a-4aa5-bf00-4acf42cb95a8">
      <Terms xmlns="http://schemas.microsoft.com/office/infopath/2007/PartnerControls"/>
    </lcf76f155ced4ddcb4097134ff3c332f>
    <TaxCatchAll xmlns="154117a3-bde5-4b03-a812-7e57943f045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4F08-EFF6-4AEA-BD99-E11530E0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2ebfe-870a-4aa5-bf00-4acf42cb95a8"/>
    <ds:schemaRef ds:uri="154117a3-bde5-4b03-a812-7e57943f0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76576-953A-4801-9DC7-2AFB9B9A8191}">
  <ds:schemaRefs>
    <ds:schemaRef ds:uri="http://schemas.microsoft.com/office/2006/metadata/properties"/>
    <ds:schemaRef ds:uri="http://schemas.microsoft.com/office/infopath/2007/PartnerControls"/>
    <ds:schemaRef ds:uri="c6c2ebfe-870a-4aa5-bf00-4acf42cb95a8"/>
    <ds:schemaRef ds:uri="154117a3-bde5-4b03-a812-7e57943f045d"/>
  </ds:schemaRefs>
</ds:datastoreItem>
</file>

<file path=customXml/itemProps3.xml><?xml version="1.0" encoding="utf-8"?>
<ds:datastoreItem xmlns:ds="http://schemas.openxmlformats.org/officeDocument/2006/customXml" ds:itemID="{B5CBD524-EE4E-4591-AC6A-D96EF0D5F714}">
  <ds:schemaRefs>
    <ds:schemaRef ds:uri="http://schemas.microsoft.com/sharepoint/v3/contenttype/forms"/>
  </ds:schemaRefs>
</ds:datastoreItem>
</file>

<file path=customXml/itemProps4.xml><?xml version="1.0" encoding="utf-8"?>
<ds:datastoreItem xmlns:ds="http://schemas.openxmlformats.org/officeDocument/2006/customXml" ds:itemID="{CCAECBBA-5926-4008-A94B-0425B283443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Payne</dc:creator>
  <keywords/>
  <dc:description/>
  <lastModifiedBy>Matt Scott</lastModifiedBy>
  <revision>67</revision>
  <lastPrinted>2022-10-13T15:30:00.0000000Z</lastPrinted>
  <dcterms:created xsi:type="dcterms:W3CDTF">2021-10-04T14:31:00.0000000Z</dcterms:created>
  <dcterms:modified xsi:type="dcterms:W3CDTF">2023-10-11T15:39:25.0298846Z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0x010100B537AC9AD250EA4386D0A6714D617152</vt:lpwstr>
  </property>
  <property fmtid="{D5CDD505-2E9C-101B-9397-08002B2CF9AE}" pid="3" name="MediaServiceImageTags">
    <vt:lpwstr/>
  </property>
</Properties>
</file>